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9C17" w14:textId="12DCD8F1" w:rsidR="000D6E27" w:rsidRPr="00681DE7" w:rsidRDefault="0021160B" w:rsidP="00951429">
      <w:pPr>
        <w:spacing w:before="480" w:after="480" w:line="360" w:lineRule="auto"/>
        <w:rPr>
          <w:rFonts w:ascii="Arial" w:hAnsi="Arial" w:cs="Arial"/>
          <w:b/>
          <w:sz w:val="48"/>
          <w:szCs w:val="48"/>
          <w:lang w:val="en-GB"/>
        </w:rPr>
      </w:pPr>
      <w:r w:rsidRPr="00681DE7">
        <w:rPr>
          <w:rFonts w:ascii="Arial" w:hAnsi="Arial" w:cs="Arial"/>
          <w:b/>
          <w:sz w:val="48"/>
          <w:szCs w:val="48"/>
          <w:lang w:val="en-GB"/>
        </w:rPr>
        <w:t xml:space="preserve">Nordic </w:t>
      </w:r>
      <w:r w:rsidR="005974F2" w:rsidRPr="00681DE7">
        <w:rPr>
          <w:rFonts w:ascii="Arial" w:hAnsi="Arial" w:cs="Arial"/>
          <w:b/>
          <w:sz w:val="48"/>
          <w:szCs w:val="48"/>
          <w:lang w:val="en-GB"/>
        </w:rPr>
        <w:t xml:space="preserve">Sustainable Development </w:t>
      </w:r>
      <w:r w:rsidR="001D381C">
        <w:rPr>
          <w:rFonts w:ascii="Arial" w:hAnsi="Arial" w:cs="Arial"/>
          <w:b/>
          <w:sz w:val="48"/>
          <w:szCs w:val="48"/>
          <w:lang w:val="en-GB"/>
        </w:rPr>
        <w:br/>
      </w:r>
      <w:r w:rsidR="005974F2" w:rsidRPr="00681DE7">
        <w:rPr>
          <w:rFonts w:ascii="Arial" w:hAnsi="Arial" w:cs="Arial"/>
          <w:b/>
          <w:sz w:val="48"/>
          <w:szCs w:val="48"/>
          <w:lang w:val="en-GB"/>
        </w:rPr>
        <w:t>Indicators</w:t>
      </w:r>
      <w:r w:rsidRPr="00681DE7">
        <w:rPr>
          <w:rFonts w:ascii="Arial" w:hAnsi="Arial" w:cs="Arial"/>
          <w:b/>
          <w:sz w:val="48"/>
          <w:szCs w:val="48"/>
          <w:lang w:val="en-GB"/>
        </w:rPr>
        <w:t xml:space="preserve"> </w:t>
      </w:r>
      <w:r w:rsidR="00480BF4" w:rsidRPr="00681DE7">
        <w:rPr>
          <w:rFonts w:ascii="Arial" w:hAnsi="Arial" w:cs="Arial"/>
          <w:b/>
          <w:sz w:val="48"/>
          <w:szCs w:val="48"/>
          <w:lang w:val="en-GB"/>
        </w:rPr>
        <w:t>– in the light of</w:t>
      </w:r>
      <w:r w:rsidR="00B46724" w:rsidRPr="00681DE7">
        <w:rPr>
          <w:rFonts w:ascii="Arial" w:hAnsi="Arial" w:cs="Arial"/>
          <w:b/>
          <w:sz w:val="48"/>
          <w:szCs w:val="48"/>
          <w:lang w:val="en-GB"/>
        </w:rPr>
        <w:t xml:space="preserve"> Agenda</w:t>
      </w:r>
      <w:r w:rsidRPr="00681DE7">
        <w:rPr>
          <w:rFonts w:ascii="Arial" w:hAnsi="Arial" w:cs="Arial"/>
          <w:b/>
          <w:sz w:val="48"/>
          <w:szCs w:val="48"/>
          <w:lang w:val="en-GB"/>
        </w:rPr>
        <w:t xml:space="preserve"> 2030</w:t>
      </w:r>
    </w:p>
    <w:p w14:paraId="4F0A12B8" w14:textId="77777777" w:rsidR="009751F9" w:rsidRPr="00681DE7" w:rsidRDefault="005974F2" w:rsidP="009751F9">
      <w:pPr>
        <w:spacing w:after="0" w:line="360" w:lineRule="auto"/>
        <w:jc w:val="both"/>
        <w:rPr>
          <w:rFonts w:ascii="Arial" w:hAnsi="Arial" w:cs="Arial"/>
          <w:sz w:val="24"/>
          <w:szCs w:val="24"/>
          <w:lang w:val="en-GB"/>
        </w:rPr>
      </w:pPr>
      <w:r w:rsidRPr="00681DE7">
        <w:rPr>
          <w:rFonts w:ascii="Arial" w:hAnsi="Arial" w:cs="Arial"/>
          <w:sz w:val="24"/>
          <w:szCs w:val="24"/>
          <w:lang w:val="en-GB"/>
        </w:rPr>
        <w:t>Johan Bring, Statisticon, johan.bring@statisticon.se</w:t>
      </w:r>
      <w:r w:rsidR="009751F9" w:rsidRPr="00681DE7">
        <w:rPr>
          <w:rFonts w:ascii="Arial" w:hAnsi="Arial" w:cs="Arial"/>
          <w:sz w:val="24"/>
          <w:szCs w:val="24"/>
          <w:lang w:val="en-GB"/>
        </w:rPr>
        <w:t xml:space="preserve"> </w:t>
      </w:r>
    </w:p>
    <w:p w14:paraId="507CFA21" w14:textId="77777777" w:rsidR="009751F9" w:rsidRPr="00681DE7" w:rsidRDefault="009751F9" w:rsidP="009751F9">
      <w:pPr>
        <w:rPr>
          <w:rFonts w:ascii="Arial" w:hAnsi="Arial" w:cs="Arial"/>
          <w:sz w:val="24"/>
          <w:szCs w:val="24"/>
          <w:lang w:val="en-GB"/>
        </w:rPr>
      </w:pPr>
      <w:r w:rsidRPr="00681DE7">
        <w:rPr>
          <w:rFonts w:ascii="Arial" w:hAnsi="Arial" w:cs="Arial"/>
          <w:sz w:val="24"/>
          <w:szCs w:val="24"/>
          <w:lang w:val="en-GB"/>
        </w:rPr>
        <w:t>Ulla Agerskov, Nordic Council of Ministers, ullage@norden.org</w:t>
      </w:r>
    </w:p>
    <w:p w14:paraId="6594A34C" w14:textId="77777777" w:rsidR="005974F2" w:rsidRPr="00681DE7" w:rsidRDefault="005974F2" w:rsidP="005974F2">
      <w:pPr>
        <w:spacing w:after="0" w:line="360" w:lineRule="auto"/>
        <w:jc w:val="both"/>
        <w:rPr>
          <w:rFonts w:ascii="Arial" w:hAnsi="Arial" w:cs="Arial"/>
          <w:sz w:val="24"/>
          <w:szCs w:val="24"/>
          <w:lang w:val="en-GB"/>
        </w:rPr>
      </w:pPr>
    </w:p>
    <w:p w14:paraId="12497640" w14:textId="77777777" w:rsidR="005974F2" w:rsidRPr="00681DE7" w:rsidRDefault="005974F2" w:rsidP="005974F2">
      <w:pPr>
        <w:spacing w:before="240" w:after="0" w:line="360" w:lineRule="auto"/>
        <w:jc w:val="both"/>
        <w:rPr>
          <w:rFonts w:ascii="Arial" w:hAnsi="Arial" w:cs="Arial"/>
          <w:b/>
          <w:sz w:val="24"/>
          <w:szCs w:val="24"/>
          <w:lang w:val="en-GB"/>
        </w:rPr>
      </w:pPr>
      <w:r w:rsidRPr="00681DE7">
        <w:rPr>
          <w:rFonts w:ascii="Arial" w:hAnsi="Arial" w:cs="Arial"/>
          <w:b/>
          <w:sz w:val="24"/>
          <w:szCs w:val="24"/>
          <w:lang w:val="en-GB"/>
        </w:rPr>
        <w:t>Abstract</w:t>
      </w:r>
    </w:p>
    <w:p w14:paraId="274A2E59" w14:textId="1FC56EE0" w:rsidR="005974F2" w:rsidRPr="00681DE7" w:rsidRDefault="005974F2" w:rsidP="00421004">
      <w:pPr>
        <w:shd w:val="clear" w:color="auto" w:fill="FAFAFA"/>
        <w:spacing w:line="360" w:lineRule="auto"/>
        <w:jc w:val="both"/>
        <w:rPr>
          <w:rFonts w:ascii="Arial" w:hAnsi="Arial" w:cs="Arial"/>
          <w:sz w:val="20"/>
          <w:szCs w:val="20"/>
          <w:lang w:val="en-GB"/>
        </w:rPr>
      </w:pPr>
      <w:r w:rsidRPr="00681DE7">
        <w:rPr>
          <w:rFonts w:ascii="Arial" w:hAnsi="Arial" w:cs="Arial"/>
          <w:sz w:val="20"/>
          <w:szCs w:val="20"/>
          <w:lang w:val="en-GB"/>
        </w:rPr>
        <w:t>Undoubtedly, the Nordic countries are in the global elite when it comes to being closest to achieving</w:t>
      </w:r>
      <w:r w:rsidR="00421004">
        <w:rPr>
          <w:rFonts w:ascii="Arial" w:hAnsi="Arial" w:cs="Arial"/>
          <w:sz w:val="20"/>
          <w:szCs w:val="20"/>
          <w:lang w:val="en-GB"/>
        </w:rPr>
        <w:t xml:space="preserve"> many of</w:t>
      </w:r>
      <w:r w:rsidRPr="00681DE7">
        <w:rPr>
          <w:rFonts w:ascii="Arial" w:hAnsi="Arial" w:cs="Arial"/>
          <w:sz w:val="20"/>
          <w:szCs w:val="20"/>
          <w:lang w:val="en-GB"/>
        </w:rPr>
        <w:t xml:space="preserve"> the Sustainable Development Goals (SDGs) by 2030. Across international analys</w:t>
      </w:r>
      <w:r w:rsidR="003F05D5">
        <w:rPr>
          <w:rFonts w:ascii="Arial" w:hAnsi="Arial" w:cs="Arial"/>
          <w:sz w:val="20"/>
          <w:szCs w:val="20"/>
          <w:lang w:val="en-GB"/>
        </w:rPr>
        <w:t>e</w:t>
      </w:r>
      <w:r w:rsidRPr="00681DE7">
        <w:rPr>
          <w:rFonts w:ascii="Arial" w:hAnsi="Arial" w:cs="Arial"/>
          <w:sz w:val="20"/>
          <w:szCs w:val="20"/>
          <w:lang w:val="en-GB"/>
        </w:rPr>
        <w:t>s the Nordic countries consistently score in the top 10. Despite this, successful implementation of the SDGs will require that the Nordic countries also understand their shortcomings in relation to the 2030 Agenda. A good understanding of shared challenges can foster strong collaborations across the region on how to overcome them.</w:t>
      </w:r>
    </w:p>
    <w:p w14:paraId="63E0CF8A" w14:textId="393CB32F" w:rsidR="005974F2" w:rsidRPr="00681DE7" w:rsidRDefault="005974F2" w:rsidP="00421004">
      <w:pPr>
        <w:shd w:val="clear" w:color="auto" w:fill="FAFAFA"/>
        <w:spacing w:line="360" w:lineRule="auto"/>
        <w:jc w:val="both"/>
        <w:rPr>
          <w:rFonts w:ascii="Arial" w:hAnsi="Arial" w:cs="Arial"/>
          <w:sz w:val="20"/>
          <w:szCs w:val="20"/>
          <w:lang w:val="en-GB"/>
        </w:rPr>
      </w:pPr>
      <w:bookmarkStart w:id="0" w:name="_Hlk7773227"/>
      <w:r w:rsidRPr="00681DE7">
        <w:rPr>
          <w:rFonts w:ascii="Arial" w:hAnsi="Arial" w:cs="Arial"/>
          <w:sz w:val="20"/>
          <w:szCs w:val="20"/>
          <w:lang w:val="en-GB"/>
        </w:rPr>
        <w:t xml:space="preserve">To monitor the Nordic </w:t>
      </w:r>
      <w:r w:rsidR="00897C61">
        <w:rPr>
          <w:rFonts w:ascii="Arial" w:hAnsi="Arial" w:cs="Arial"/>
          <w:sz w:val="20"/>
          <w:szCs w:val="20"/>
          <w:lang w:val="en-GB"/>
        </w:rPr>
        <w:t>r</w:t>
      </w:r>
      <w:r w:rsidRPr="00681DE7">
        <w:rPr>
          <w:rFonts w:ascii="Arial" w:hAnsi="Arial" w:cs="Arial"/>
          <w:sz w:val="20"/>
          <w:szCs w:val="20"/>
          <w:lang w:val="en-GB"/>
        </w:rPr>
        <w:t xml:space="preserve">egion’s progress towards </w:t>
      </w:r>
      <w:r w:rsidR="00897C61">
        <w:rPr>
          <w:rFonts w:ascii="Arial" w:hAnsi="Arial" w:cs="Arial"/>
          <w:sz w:val="20"/>
          <w:szCs w:val="20"/>
          <w:lang w:val="en-GB"/>
        </w:rPr>
        <w:t>s</w:t>
      </w:r>
      <w:r w:rsidRPr="00681DE7">
        <w:rPr>
          <w:rFonts w:ascii="Arial" w:hAnsi="Arial" w:cs="Arial"/>
          <w:sz w:val="20"/>
          <w:szCs w:val="20"/>
          <w:lang w:val="en-GB"/>
        </w:rPr>
        <w:t xml:space="preserve">ustainable </w:t>
      </w:r>
      <w:r w:rsidR="00897C61">
        <w:rPr>
          <w:rFonts w:ascii="Arial" w:hAnsi="Arial" w:cs="Arial"/>
          <w:sz w:val="20"/>
          <w:szCs w:val="20"/>
          <w:lang w:val="en-GB"/>
        </w:rPr>
        <w:t>d</w:t>
      </w:r>
      <w:r w:rsidRPr="00681DE7">
        <w:rPr>
          <w:rFonts w:ascii="Arial" w:hAnsi="Arial" w:cs="Arial"/>
          <w:sz w:val="20"/>
          <w:szCs w:val="20"/>
          <w:lang w:val="en-GB"/>
        </w:rPr>
        <w:t xml:space="preserve">evelopment, the Nordic Sustainable Development Indicators were introduced in 2013. </w:t>
      </w:r>
      <w:bookmarkEnd w:id="0"/>
      <w:r w:rsidRPr="00681DE7">
        <w:rPr>
          <w:rFonts w:ascii="Arial" w:hAnsi="Arial" w:cs="Arial"/>
          <w:sz w:val="20"/>
          <w:szCs w:val="20"/>
          <w:lang w:val="en-GB"/>
        </w:rPr>
        <w:t>These 2</w:t>
      </w:r>
      <w:r w:rsidR="0060216A" w:rsidRPr="00681DE7">
        <w:rPr>
          <w:rFonts w:ascii="Arial" w:hAnsi="Arial" w:cs="Arial"/>
          <w:sz w:val="20"/>
          <w:szCs w:val="20"/>
          <w:lang w:val="en-GB"/>
        </w:rPr>
        <w:t>2</w:t>
      </w:r>
      <w:r w:rsidRPr="00681DE7">
        <w:rPr>
          <w:rFonts w:ascii="Arial" w:hAnsi="Arial" w:cs="Arial"/>
          <w:sz w:val="20"/>
          <w:szCs w:val="20"/>
          <w:lang w:val="en-GB"/>
        </w:rPr>
        <w:t xml:space="preserve"> indicators show long-term trends within the following focus areas: the Nordic welfare model, viable ecosystems; changing climate; sustainable use of Earth’s resources; and education, research and innovation. </w:t>
      </w:r>
    </w:p>
    <w:p w14:paraId="4286DEB6" w14:textId="211481C3" w:rsidR="005974F2" w:rsidRPr="00681DE7" w:rsidRDefault="005974F2" w:rsidP="00421004">
      <w:pPr>
        <w:shd w:val="clear" w:color="auto" w:fill="FAFAFA"/>
        <w:spacing w:line="360" w:lineRule="auto"/>
        <w:jc w:val="both"/>
        <w:rPr>
          <w:rFonts w:ascii="Arial" w:hAnsi="Arial" w:cs="Arial"/>
          <w:sz w:val="20"/>
          <w:szCs w:val="20"/>
          <w:lang w:val="en-GB"/>
        </w:rPr>
      </w:pPr>
      <w:r w:rsidRPr="00681DE7">
        <w:rPr>
          <w:rFonts w:ascii="Arial" w:hAnsi="Arial" w:cs="Arial"/>
          <w:sz w:val="20"/>
          <w:szCs w:val="20"/>
          <w:lang w:val="en-GB"/>
        </w:rPr>
        <w:t>In September 2017, the Nordic countries adopted a joint program</w:t>
      </w:r>
      <w:r w:rsidR="00D96E95" w:rsidRPr="00681DE7">
        <w:rPr>
          <w:rFonts w:ascii="Arial" w:hAnsi="Arial" w:cs="Arial"/>
          <w:sz w:val="20"/>
          <w:szCs w:val="20"/>
          <w:lang w:val="en-GB"/>
        </w:rPr>
        <w:t>m</w:t>
      </w:r>
      <w:r w:rsidRPr="00681DE7">
        <w:rPr>
          <w:rFonts w:ascii="Arial" w:hAnsi="Arial" w:cs="Arial"/>
          <w:sz w:val="20"/>
          <w:szCs w:val="20"/>
          <w:lang w:val="en-GB"/>
        </w:rPr>
        <w:t>e for the implementation of 2030 Agenda under the title “Generation 2030”. After the adoption of the programme, a mapping between the Nordic Sustainable Development Indicators and the SDG Indicators was carried out. Th</w:t>
      </w:r>
      <w:r w:rsidR="00897C61">
        <w:rPr>
          <w:rFonts w:ascii="Arial" w:hAnsi="Arial" w:cs="Arial"/>
          <w:sz w:val="20"/>
          <w:szCs w:val="20"/>
          <w:lang w:val="en-GB"/>
        </w:rPr>
        <w:t>e</w:t>
      </w:r>
      <w:r w:rsidRPr="00681DE7">
        <w:rPr>
          <w:rFonts w:ascii="Arial" w:hAnsi="Arial" w:cs="Arial"/>
          <w:sz w:val="20"/>
          <w:szCs w:val="20"/>
          <w:lang w:val="en-GB"/>
        </w:rPr>
        <w:t xml:space="preserve"> mapping </w:t>
      </w:r>
      <w:r w:rsidR="00014C5C">
        <w:rPr>
          <w:rFonts w:ascii="Arial" w:hAnsi="Arial" w:cs="Arial"/>
          <w:sz w:val="20"/>
          <w:szCs w:val="20"/>
          <w:lang w:val="en-GB"/>
        </w:rPr>
        <w:t>was</w:t>
      </w:r>
      <w:r w:rsidRPr="00681DE7">
        <w:rPr>
          <w:rFonts w:ascii="Arial" w:hAnsi="Arial" w:cs="Arial"/>
          <w:sz w:val="20"/>
          <w:szCs w:val="20"/>
          <w:lang w:val="en-GB"/>
        </w:rPr>
        <w:t xml:space="preserve"> finished in Spring 2019</w:t>
      </w:r>
      <w:r w:rsidR="00014C5C">
        <w:rPr>
          <w:rFonts w:ascii="Arial" w:hAnsi="Arial" w:cs="Arial"/>
          <w:sz w:val="20"/>
          <w:szCs w:val="20"/>
          <w:lang w:val="en-GB"/>
        </w:rPr>
        <w:t xml:space="preserve"> </w:t>
      </w:r>
      <w:r w:rsidR="00673619">
        <w:rPr>
          <w:rFonts w:ascii="Arial" w:hAnsi="Arial" w:cs="Arial"/>
          <w:sz w:val="20"/>
          <w:szCs w:val="20"/>
          <w:lang w:val="en-GB"/>
        </w:rPr>
        <w:t xml:space="preserve">and </w:t>
      </w:r>
      <w:r w:rsidRPr="00681DE7">
        <w:rPr>
          <w:rFonts w:ascii="Arial" w:hAnsi="Arial" w:cs="Arial"/>
          <w:sz w:val="20"/>
          <w:szCs w:val="20"/>
          <w:lang w:val="en-GB"/>
        </w:rPr>
        <w:t xml:space="preserve">will serve as a basis for </w:t>
      </w:r>
      <w:r w:rsidR="00673619">
        <w:rPr>
          <w:rFonts w:ascii="Arial" w:hAnsi="Arial" w:cs="Arial"/>
          <w:sz w:val="20"/>
          <w:szCs w:val="20"/>
          <w:lang w:val="en-GB"/>
        </w:rPr>
        <w:t>discussions on the need</w:t>
      </w:r>
      <w:r w:rsidR="00014C5C">
        <w:rPr>
          <w:rFonts w:ascii="Arial" w:hAnsi="Arial" w:cs="Arial"/>
          <w:sz w:val="20"/>
          <w:szCs w:val="20"/>
          <w:lang w:val="en-GB"/>
        </w:rPr>
        <w:t>s</w:t>
      </w:r>
      <w:r w:rsidR="00673619">
        <w:rPr>
          <w:rFonts w:ascii="Arial" w:hAnsi="Arial" w:cs="Arial"/>
          <w:sz w:val="20"/>
          <w:szCs w:val="20"/>
          <w:lang w:val="en-GB"/>
        </w:rPr>
        <w:t xml:space="preserve"> </w:t>
      </w:r>
      <w:r w:rsidR="00897C61">
        <w:rPr>
          <w:rFonts w:ascii="Arial" w:hAnsi="Arial" w:cs="Arial"/>
          <w:sz w:val="20"/>
          <w:szCs w:val="20"/>
          <w:lang w:val="en-GB"/>
        </w:rPr>
        <w:t xml:space="preserve">for </w:t>
      </w:r>
      <w:r w:rsidR="00673619">
        <w:rPr>
          <w:rFonts w:ascii="Arial" w:hAnsi="Arial" w:cs="Arial"/>
          <w:sz w:val="20"/>
          <w:szCs w:val="20"/>
          <w:lang w:val="en-GB"/>
        </w:rPr>
        <w:t>adjust</w:t>
      </w:r>
      <w:r w:rsidR="00897C61">
        <w:rPr>
          <w:rFonts w:ascii="Arial" w:hAnsi="Arial" w:cs="Arial"/>
          <w:sz w:val="20"/>
          <w:szCs w:val="20"/>
          <w:lang w:val="en-GB"/>
        </w:rPr>
        <w:t xml:space="preserve">ing </w:t>
      </w:r>
      <w:r w:rsidR="00014C5C">
        <w:rPr>
          <w:rFonts w:ascii="Arial" w:hAnsi="Arial" w:cs="Arial"/>
          <w:sz w:val="20"/>
          <w:szCs w:val="20"/>
          <w:lang w:val="en-GB"/>
        </w:rPr>
        <w:t>or supplementing</w:t>
      </w:r>
      <w:r w:rsidR="00673619">
        <w:rPr>
          <w:rFonts w:ascii="Arial" w:hAnsi="Arial" w:cs="Arial"/>
          <w:sz w:val="20"/>
          <w:szCs w:val="20"/>
          <w:lang w:val="en-GB"/>
        </w:rPr>
        <w:t xml:space="preserve"> the Nordic Sustainable Development Indicators in the nearer future</w:t>
      </w:r>
      <w:r w:rsidR="00C005A9" w:rsidRPr="00681DE7">
        <w:rPr>
          <w:rFonts w:ascii="Arial" w:hAnsi="Arial" w:cs="Arial"/>
          <w:sz w:val="20"/>
          <w:szCs w:val="20"/>
          <w:lang w:val="en-GB"/>
        </w:rPr>
        <w:t>.</w:t>
      </w:r>
    </w:p>
    <w:p w14:paraId="4B1AD671" w14:textId="77777777" w:rsidR="005974F2" w:rsidRPr="00681DE7" w:rsidRDefault="005974F2" w:rsidP="005974F2">
      <w:pPr>
        <w:spacing w:before="240" w:after="0" w:line="360" w:lineRule="auto"/>
        <w:jc w:val="both"/>
        <w:rPr>
          <w:rFonts w:ascii="Arial" w:hAnsi="Arial" w:cs="Arial"/>
          <w:sz w:val="24"/>
          <w:szCs w:val="24"/>
          <w:lang w:val="en-GB"/>
        </w:rPr>
      </w:pPr>
      <w:r w:rsidRPr="00681DE7">
        <w:rPr>
          <w:rFonts w:ascii="Arial" w:hAnsi="Arial" w:cs="Arial"/>
          <w:b/>
          <w:sz w:val="24"/>
          <w:szCs w:val="24"/>
          <w:lang w:val="en-GB"/>
        </w:rPr>
        <w:t xml:space="preserve">Keywords: </w:t>
      </w:r>
      <w:r w:rsidRPr="00681DE7">
        <w:rPr>
          <w:rFonts w:ascii="Arial" w:hAnsi="Arial" w:cs="Arial"/>
          <w:sz w:val="24"/>
          <w:szCs w:val="24"/>
          <w:lang w:val="en-GB"/>
        </w:rPr>
        <w:t xml:space="preserve">Nordic co-operation, Sustainable Development, 2030 Agenda, SDGs, indicators </w:t>
      </w:r>
    </w:p>
    <w:p w14:paraId="60EF1D2D" w14:textId="77777777" w:rsidR="00464205" w:rsidRDefault="00464205">
      <w:pPr>
        <w:rPr>
          <w:rFonts w:ascii="Arial" w:hAnsi="Arial" w:cs="Arial"/>
          <w:b/>
          <w:sz w:val="24"/>
          <w:szCs w:val="24"/>
          <w:lang w:val="en-GB"/>
        </w:rPr>
      </w:pPr>
      <w:r>
        <w:rPr>
          <w:rFonts w:ascii="Arial" w:hAnsi="Arial" w:cs="Arial"/>
          <w:b/>
          <w:sz w:val="24"/>
          <w:szCs w:val="24"/>
          <w:lang w:val="en-GB"/>
        </w:rPr>
        <w:br w:type="page"/>
      </w:r>
    </w:p>
    <w:p w14:paraId="5FA17D39" w14:textId="1E634231" w:rsidR="00066017" w:rsidRPr="00681DE7" w:rsidRDefault="00817147" w:rsidP="00066017">
      <w:pPr>
        <w:spacing w:before="120" w:after="0" w:line="360" w:lineRule="auto"/>
        <w:jc w:val="both"/>
        <w:rPr>
          <w:rFonts w:ascii="Arial" w:hAnsi="Arial" w:cs="Arial"/>
          <w:sz w:val="24"/>
          <w:szCs w:val="24"/>
          <w:lang w:val="en-GB"/>
        </w:rPr>
      </w:pPr>
      <w:r w:rsidRPr="00681DE7">
        <w:rPr>
          <w:rFonts w:ascii="Arial" w:hAnsi="Arial" w:cs="Arial"/>
          <w:b/>
          <w:sz w:val="24"/>
          <w:szCs w:val="24"/>
          <w:lang w:val="en-GB"/>
        </w:rPr>
        <w:lastRenderedPageBreak/>
        <w:t>1</w:t>
      </w:r>
      <w:r w:rsidR="006B1F86" w:rsidRPr="00681DE7">
        <w:rPr>
          <w:rFonts w:ascii="Arial" w:hAnsi="Arial" w:cs="Arial"/>
          <w:b/>
          <w:sz w:val="24"/>
          <w:szCs w:val="24"/>
          <w:lang w:val="en-GB"/>
        </w:rPr>
        <w:t xml:space="preserve">. </w:t>
      </w:r>
      <w:r w:rsidR="00EA6DCA" w:rsidRPr="00681DE7">
        <w:rPr>
          <w:rFonts w:ascii="Arial" w:hAnsi="Arial" w:cs="Arial"/>
          <w:b/>
          <w:sz w:val="24"/>
          <w:szCs w:val="24"/>
          <w:lang w:val="en-GB"/>
        </w:rPr>
        <w:t>Nordic Council of Ministers</w:t>
      </w:r>
      <w:r w:rsidR="00D91B2A" w:rsidRPr="00681DE7">
        <w:rPr>
          <w:rFonts w:ascii="Arial" w:hAnsi="Arial" w:cs="Arial"/>
          <w:b/>
          <w:sz w:val="24"/>
          <w:szCs w:val="24"/>
          <w:lang w:val="en-GB"/>
        </w:rPr>
        <w:t xml:space="preserve"> and sustainable development</w:t>
      </w:r>
    </w:p>
    <w:p w14:paraId="514DDB2F" w14:textId="77777777" w:rsidR="00D91B2A" w:rsidRPr="00681DE7" w:rsidRDefault="00D91B2A" w:rsidP="003618BE">
      <w:pPr>
        <w:spacing w:before="120" w:after="0" w:line="360" w:lineRule="auto"/>
        <w:jc w:val="both"/>
        <w:rPr>
          <w:rFonts w:ascii="Arial" w:hAnsi="Arial" w:cs="Arial"/>
          <w:bCs/>
          <w:sz w:val="24"/>
          <w:szCs w:val="24"/>
          <w:lang w:val="en-GB"/>
        </w:rPr>
      </w:pPr>
      <w:r w:rsidRPr="00681DE7">
        <w:rPr>
          <w:rFonts w:ascii="Arial" w:hAnsi="Arial" w:cs="Arial"/>
          <w:bCs/>
          <w:i/>
          <w:sz w:val="24"/>
          <w:szCs w:val="24"/>
          <w:lang w:val="en-GB"/>
        </w:rPr>
        <w:t>Strategy on sustainable development</w:t>
      </w:r>
      <w:r w:rsidRPr="00681DE7">
        <w:rPr>
          <w:rFonts w:ascii="Arial" w:hAnsi="Arial" w:cs="Arial"/>
          <w:bCs/>
          <w:sz w:val="24"/>
          <w:szCs w:val="24"/>
          <w:lang w:val="en-GB"/>
        </w:rPr>
        <w:t xml:space="preserve"> </w:t>
      </w:r>
    </w:p>
    <w:p w14:paraId="5B8F74C2" w14:textId="77777777" w:rsidR="00D709ED" w:rsidRPr="00D709ED" w:rsidRDefault="00D709ED" w:rsidP="00D709ED">
      <w:pPr>
        <w:spacing w:before="120" w:after="0" w:line="360" w:lineRule="auto"/>
        <w:jc w:val="both"/>
        <w:rPr>
          <w:rFonts w:ascii="Arial" w:hAnsi="Arial" w:cs="Arial"/>
          <w:bCs/>
          <w:sz w:val="24"/>
          <w:szCs w:val="24"/>
          <w:lang w:val="en-GB"/>
        </w:rPr>
      </w:pPr>
      <w:r w:rsidRPr="00D709ED">
        <w:rPr>
          <w:rFonts w:ascii="Arial" w:hAnsi="Arial" w:cs="Arial"/>
          <w:bCs/>
          <w:sz w:val="24"/>
          <w:szCs w:val="24"/>
          <w:lang w:val="en-GB"/>
        </w:rPr>
        <w:t>The Nordic Council of Ministers has worked with sustainable development since the end of the 1990s. The Nordic strategy for sustainable development, A Good Life in a Sustainable Nordic Region, is the overall framework for the Council of Ministers' work. All work carried out within the Council of Ministers will incorporate a sustainability perspective.</w:t>
      </w:r>
    </w:p>
    <w:p w14:paraId="07ECA43E" w14:textId="705FE70E" w:rsidR="009751F9" w:rsidRPr="00260A75" w:rsidRDefault="00D709ED" w:rsidP="009751F9">
      <w:pPr>
        <w:spacing w:before="120" w:after="0" w:line="360" w:lineRule="auto"/>
        <w:jc w:val="both"/>
        <w:rPr>
          <w:rFonts w:ascii="Arial" w:hAnsi="Arial" w:cs="Arial"/>
          <w:bCs/>
          <w:sz w:val="24"/>
          <w:szCs w:val="24"/>
          <w:lang w:val="en-GB"/>
        </w:rPr>
      </w:pPr>
      <w:r w:rsidRPr="00D709ED">
        <w:rPr>
          <w:rFonts w:ascii="Arial" w:hAnsi="Arial" w:cs="Arial"/>
          <w:bCs/>
          <w:sz w:val="24"/>
          <w:szCs w:val="24"/>
          <w:lang w:val="en-GB"/>
        </w:rPr>
        <w:t>The strategy provides long-term guidelines as far as 2025 and aims to promote the cross-sectoral work of the Nordic Council of Ministers in the following focus areas: the Nordic welfare model, robust ecosystems, climate change, sustainable use of the earth's resources, as well as education, research and innovation</w:t>
      </w:r>
    </w:p>
    <w:p w14:paraId="1C658F28" w14:textId="2909C909" w:rsidR="00B879DE" w:rsidRDefault="009751F9" w:rsidP="00460116">
      <w:pPr>
        <w:spacing w:before="120" w:after="0" w:line="360" w:lineRule="auto"/>
        <w:jc w:val="both"/>
        <w:rPr>
          <w:rFonts w:ascii="Arial" w:hAnsi="Arial" w:cs="Arial"/>
          <w:bCs/>
          <w:sz w:val="24"/>
          <w:szCs w:val="24"/>
          <w:lang w:val="en-GB"/>
        </w:rPr>
      </w:pPr>
      <w:r w:rsidRPr="00681DE7">
        <w:rPr>
          <w:rFonts w:ascii="Arial" w:hAnsi="Arial" w:cs="Arial"/>
          <w:bCs/>
          <w:sz w:val="24"/>
          <w:szCs w:val="24"/>
          <w:lang w:val="en-GB"/>
        </w:rPr>
        <w:t>The Ministers for Co-operation have the overall responsibility for Nordic inter-governmental work on sustainable development. They have set up a Nordic Expert Group for Sustainable Development to assist in the follow-up work on the Nordic Council of Ministers’ sustainability strategy 'A Good Life in a Sustainable Nordic Region' and the Nordic Council of Ministers’ work to implement Agenda 2030.</w:t>
      </w:r>
    </w:p>
    <w:p w14:paraId="77723449" w14:textId="04394AE4" w:rsidR="00464205" w:rsidRDefault="00464205" w:rsidP="00460116">
      <w:pPr>
        <w:spacing w:before="120" w:after="0" w:line="360" w:lineRule="auto"/>
        <w:jc w:val="both"/>
        <w:rPr>
          <w:rFonts w:ascii="Arial" w:hAnsi="Arial" w:cs="Arial"/>
          <w:bCs/>
          <w:sz w:val="24"/>
          <w:szCs w:val="24"/>
          <w:lang w:val="en-GB"/>
        </w:rPr>
      </w:pPr>
      <w:r w:rsidRPr="00464205">
        <w:rPr>
          <w:rFonts w:ascii="Arial" w:hAnsi="Arial" w:cs="Arial"/>
          <w:bCs/>
          <w:sz w:val="24"/>
          <w:szCs w:val="24"/>
          <w:lang w:val="en-GB"/>
        </w:rPr>
        <w:t xml:space="preserve">The Nordic Strategy for Sustainable Development is the overriding and cross-sectoral framework for the work of </w:t>
      </w:r>
      <w:r w:rsidR="00400AFB">
        <w:rPr>
          <w:rFonts w:ascii="Arial" w:hAnsi="Arial" w:cs="Arial"/>
          <w:bCs/>
          <w:sz w:val="24"/>
          <w:szCs w:val="24"/>
          <w:lang w:val="en-GB"/>
        </w:rPr>
        <w:t xml:space="preserve">the Nordic Council of Ministers – </w:t>
      </w:r>
      <w:r w:rsidRPr="00464205">
        <w:rPr>
          <w:rFonts w:ascii="Arial" w:hAnsi="Arial" w:cs="Arial"/>
          <w:bCs/>
          <w:sz w:val="24"/>
          <w:szCs w:val="24"/>
          <w:lang w:val="en-GB"/>
        </w:rPr>
        <w:t xml:space="preserve"> and is in line with the ambitions and goals of the 2030 Agenda</w:t>
      </w:r>
    </w:p>
    <w:p w14:paraId="7F31A095" w14:textId="77777777" w:rsidR="00066017" w:rsidRPr="00681DE7" w:rsidRDefault="00066017" w:rsidP="00066017">
      <w:pPr>
        <w:spacing w:before="120" w:after="0" w:line="360" w:lineRule="auto"/>
        <w:jc w:val="both"/>
        <w:rPr>
          <w:rFonts w:ascii="Arial" w:hAnsi="Arial" w:cs="Arial"/>
          <w:bCs/>
          <w:i/>
          <w:sz w:val="24"/>
          <w:szCs w:val="24"/>
          <w:lang w:val="en-GB"/>
        </w:rPr>
      </w:pPr>
      <w:r w:rsidRPr="00681DE7">
        <w:rPr>
          <w:rFonts w:ascii="Arial" w:hAnsi="Arial" w:cs="Arial"/>
          <w:bCs/>
          <w:i/>
          <w:sz w:val="24"/>
          <w:szCs w:val="24"/>
          <w:lang w:val="en-GB"/>
        </w:rPr>
        <w:t>Indicators for sustainable development</w:t>
      </w:r>
    </w:p>
    <w:p w14:paraId="68A33391" w14:textId="0980D017" w:rsidR="00B46724" w:rsidRPr="00681DE7" w:rsidRDefault="00AD69A0" w:rsidP="00177FE7">
      <w:pPr>
        <w:spacing w:before="120" w:after="0" w:line="360" w:lineRule="auto"/>
        <w:jc w:val="both"/>
        <w:rPr>
          <w:rFonts w:ascii="Arial" w:hAnsi="Arial" w:cs="Arial"/>
          <w:bCs/>
          <w:sz w:val="24"/>
          <w:szCs w:val="24"/>
          <w:lang w:val="en-GB"/>
        </w:rPr>
      </w:pPr>
      <w:r w:rsidRPr="00681DE7">
        <w:rPr>
          <w:rFonts w:ascii="Arial" w:hAnsi="Arial" w:cs="Arial"/>
          <w:bCs/>
          <w:sz w:val="24"/>
          <w:szCs w:val="24"/>
          <w:lang w:val="en-GB"/>
        </w:rPr>
        <w:t xml:space="preserve">To </w:t>
      </w:r>
      <w:r w:rsidR="00014C5C">
        <w:rPr>
          <w:rFonts w:ascii="Arial" w:hAnsi="Arial" w:cs="Arial"/>
          <w:bCs/>
          <w:sz w:val="24"/>
          <w:szCs w:val="24"/>
          <w:lang w:val="en-GB"/>
        </w:rPr>
        <w:t>follow</w:t>
      </w:r>
      <w:r w:rsidR="00014C5C" w:rsidRPr="00681DE7">
        <w:rPr>
          <w:rFonts w:ascii="Arial" w:hAnsi="Arial" w:cs="Arial"/>
          <w:bCs/>
          <w:sz w:val="24"/>
          <w:szCs w:val="24"/>
          <w:lang w:val="en-GB"/>
        </w:rPr>
        <w:t xml:space="preserve"> </w:t>
      </w:r>
      <w:r w:rsidRPr="00681DE7">
        <w:rPr>
          <w:rFonts w:ascii="Arial" w:hAnsi="Arial" w:cs="Arial"/>
          <w:bCs/>
          <w:sz w:val="24"/>
          <w:szCs w:val="24"/>
          <w:lang w:val="en-GB"/>
        </w:rPr>
        <w:t xml:space="preserve">the Nordic Region’s progress towards Sustainable Development, the Nordic countries </w:t>
      </w:r>
      <w:r w:rsidR="00A77B04" w:rsidRPr="00681DE7">
        <w:rPr>
          <w:rFonts w:ascii="Arial" w:hAnsi="Arial" w:cs="Arial"/>
          <w:bCs/>
          <w:sz w:val="24"/>
          <w:szCs w:val="24"/>
          <w:lang w:val="en-GB"/>
        </w:rPr>
        <w:t>ha</w:t>
      </w:r>
      <w:r w:rsidR="00F65B65">
        <w:rPr>
          <w:rFonts w:ascii="Arial" w:hAnsi="Arial" w:cs="Arial"/>
          <w:bCs/>
          <w:sz w:val="24"/>
          <w:szCs w:val="24"/>
          <w:lang w:val="en-GB"/>
        </w:rPr>
        <w:t>ve</w:t>
      </w:r>
      <w:r w:rsidR="00260A75">
        <w:rPr>
          <w:rFonts w:ascii="Arial" w:hAnsi="Arial" w:cs="Arial"/>
          <w:bCs/>
          <w:sz w:val="24"/>
          <w:szCs w:val="24"/>
          <w:lang w:val="en-GB"/>
        </w:rPr>
        <w:t xml:space="preserve"> </w:t>
      </w:r>
      <w:r w:rsidRPr="00681DE7">
        <w:rPr>
          <w:rFonts w:ascii="Arial" w:hAnsi="Arial" w:cs="Arial"/>
          <w:bCs/>
          <w:sz w:val="24"/>
          <w:szCs w:val="24"/>
          <w:lang w:val="en-GB"/>
        </w:rPr>
        <w:t xml:space="preserve">agreed </w:t>
      </w:r>
      <w:r w:rsidR="00400AFB">
        <w:rPr>
          <w:rFonts w:ascii="Arial" w:hAnsi="Arial" w:cs="Arial"/>
          <w:bCs/>
          <w:sz w:val="24"/>
          <w:szCs w:val="24"/>
          <w:lang w:val="en-GB"/>
        </w:rPr>
        <w:t xml:space="preserve">on </w:t>
      </w:r>
      <w:r w:rsidRPr="00681DE7">
        <w:rPr>
          <w:rFonts w:ascii="Arial" w:hAnsi="Arial" w:cs="Arial"/>
          <w:bCs/>
          <w:sz w:val="24"/>
          <w:szCs w:val="24"/>
          <w:lang w:val="en-GB"/>
        </w:rPr>
        <w:t xml:space="preserve">a set of Nordic indicators. The </w:t>
      </w:r>
      <w:r w:rsidR="00014C5C">
        <w:rPr>
          <w:rFonts w:ascii="Arial" w:hAnsi="Arial" w:cs="Arial"/>
          <w:bCs/>
          <w:sz w:val="24"/>
          <w:szCs w:val="24"/>
          <w:lang w:val="en-GB"/>
        </w:rPr>
        <w:t xml:space="preserve">existing </w:t>
      </w:r>
      <w:r w:rsidRPr="00681DE7">
        <w:rPr>
          <w:rFonts w:ascii="Arial" w:hAnsi="Arial" w:cs="Arial"/>
          <w:bCs/>
          <w:sz w:val="24"/>
          <w:szCs w:val="24"/>
          <w:lang w:val="en-GB"/>
        </w:rPr>
        <w:t>Nordic Sustainable Development Indicators were introduced in 2013 and</w:t>
      </w:r>
      <w:r w:rsidR="00B46724" w:rsidRPr="00681DE7">
        <w:rPr>
          <w:rFonts w:ascii="Arial" w:hAnsi="Arial" w:cs="Arial"/>
          <w:bCs/>
          <w:sz w:val="24"/>
          <w:szCs w:val="24"/>
          <w:lang w:val="en-GB"/>
        </w:rPr>
        <w:t xml:space="preserve"> </w:t>
      </w:r>
      <w:r w:rsidR="00480BF4" w:rsidRPr="00681DE7">
        <w:rPr>
          <w:rFonts w:ascii="Arial" w:hAnsi="Arial" w:cs="Arial"/>
          <w:bCs/>
          <w:sz w:val="24"/>
          <w:szCs w:val="24"/>
          <w:lang w:val="en-GB"/>
        </w:rPr>
        <w:t>show</w:t>
      </w:r>
      <w:r w:rsidR="00B46724" w:rsidRPr="00681DE7">
        <w:rPr>
          <w:rFonts w:ascii="Arial" w:hAnsi="Arial" w:cs="Arial"/>
          <w:bCs/>
          <w:sz w:val="24"/>
          <w:szCs w:val="24"/>
          <w:lang w:val="en-GB"/>
        </w:rPr>
        <w:t xml:space="preserve"> long-term trends in </w:t>
      </w:r>
      <w:r w:rsidR="00480BF4" w:rsidRPr="00681DE7">
        <w:rPr>
          <w:rFonts w:ascii="Arial" w:hAnsi="Arial" w:cs="Arial"/>
          <w:bCs/>
          <w:sz w:val="24"/>
          <w:szCs w:val="24"/>
          <w:lang w:val="en-GB"/>
        </w:rPr>
        <w:t>the</w:t>
      </w:r>
      <w:r w:rsidR="00F65B65">
        <w:rPr>
          <w:rFonts w:ascii="Arial" w:hAnsi="Arial" w:cs="Arial"/>
          <w:bCs/>
          <w:sz w:val="24"/>
          <w:szCs w:val="24"/>
          <w:lang w:val="en-GB"/>
        </w:rPr>
        <w:t xml:space="preserve"> above-mentioned</w:t>
      </w:r>
      <w:r w:rsidR="00B46724" w:rsidRPr="00681DE7">
        <w:rPr>
          <w:rFonts w:ascii="Arial" w:hAnsi="Arial" w:cs="Arial"/>
          <w:bCs/>
          <w:sz w:val="24"/>
          <w:szCs w:val="24"/>
          <w:lang w:val="en-GB"/>
        </w:rPr>
        <w:t xml:space="preserve"> focus areas</w:t>
      </w:r>
      <w:r w:rsidR="00F65B65">
        <w:rPr>
          <w:rFonts w:ascii="Arial" w:hAnsi="Arial" w:cs="Arial"/>
          <w:bCs/>
          <w:sz w:val="24"/>
          <w:szCs w:val="24"/>
          <w:lang w:val="en-GB"/>
        </w:rPr>
        <w:t xml:space="preserve">. </w:t>
      </w:r>
    </w:p>
    <w:p w14:paraId="4F730B98" w14:textId="77777777" w:rsidR="00260A75" w:rsidRDefault="00733C93" w:rsidP="00673619">
      <w:pPr>
        <w:spacing w:before="120" w:after="0" w:line="360" w:lineRule="auto"/>
        <w:jc w:val="both"/>
        <w:rPr>
          <w:rFonts w:ascii="Arial" w:hAnsi="Arial" w:cs="Arial"/>
          <w:bCs/>
          <w:sz w:val="24"/>
          <w:szCs w:val="24"/>
          <w:lang w:val="en-GB"/>
        </w:rPr>
      </w:pPr>
      <w:r w:rsidRPr="00681DE7">
        <w:rPr>
          <w:rFonts w:ascii="Arial" w:hAnsi="Arial" w:cs="Arial"/>
          <w:bCs/>
          <w:sz w:val="24"/>
          <w:szCs w:val="24"/>
          <w:lang w:val="en-GB"/>
        </w:rPr>
        <w:t>T</w:t>
      </w:r>
      <w:r w:rsidR="00460116" w:rsidRPr="00681DE7">
        <w:rPr>
          <w:rFonts w:ascii="Arial" w:hAnsi="Arial" w:cs="Arial"/>
          <w:bCs/>
          <w:sz w:val="24"/>
          <w:szCs w:val="24"/>
          <w:lang w:val="en-GB"/>
        </w:rPr>
        <w:t>he</w:t>
      </w:r>
      <w:r w:rsidR="0021160B" w:rsidRPr="00681DE7">
        <w:rPr>
          <w:rFonts w:ascii="Arial" w:hAnsi="Arial" w:cs="Arial"/>
          <w:bCs/>
          <w:sz w:val="24"/>
          <w:szCs w:val="24"/>
          <w:lang w:val="en-GB"/>
        </w:rPr>
        <w:t>se</w:t>
      </w:r>
      <w:r w:rsidR="00460116" w:rsidRPr="00681DE7">
        <w:rPr>
          <w:rFonts w:ascii="Arial" w:hAnsi="Arial" w:cs="Arial"/>
          <w:bCs/>
          <w:sz w:val="24"/>
          <w:szCs w:val="24"/>
          <w:lang w:val="en-GB"/>
        </w:rPr>
        <w:t xml:space="preserve"> indicators </w:t>
      </w:r>
      <w:r w:rsidRPr="00681DE7">
        <w:rPr>
          <w:rFonts w:ascii="Arial" w:hAnsi="Arial" w:cs="Arial"/>
          <w:bCs/>
          <w:sz w:val="24"/>
          <w:szCs w:val="24"/>
          <w:lang w:val="en-GB"/>
        </w:rPr>
        <w:t>are regularly updated and</w:t>
      </w:r>
      <w:r w:rsidR="00460116" w:rsidRPr="00681DE7">
        <w:rPr>
          <w:rFonts w:ascii="Arial" w:hAnsi="Arial" w:cs="Arial"/>
          <w:bCs/>
          <w:sz w:val="24"/>
          <w:szCs w:val="24"/>
          <w:lang w:val="en-GB"/>
        </w:rPr>
        <w:t xml:space="preserve"> </w:t>
      </w:r>
      <w:r w:rsidR="000B122D" w:rsidRPr="00681DE7">
        <w:rPr>
          <w:rFonts w:ascii="Arial" w:hAnsi="Arial" w:cs="Arial"/>
          <w:bCs/>
          <w:sz w:val="24"/>
          <w:szCs w:val="24"/>
          <w:lang w:val="en-GB"/>
        </w:rPr>
        <w:t>published online in Nordic Statistics Database</w:t>
      </w:r>
      <w:r w:rsidR="00CB7B06" w:rsidRPr="00681DE7">
        <w:rPr>
          <w:rFonts w:ascii="Arial" w:hAnsi="Arial" w:cs="Arial"/>
          <w:bCs/>
          <w:sz w:val="24"/>
          <w:szCs w:val="24"/>
          <w:lang w:val="en-GB"/>
        </w:rPr>
        <w:t xml:space="preserve"> - nordicstatistics.org/nordic-sustainable-development-indicators</w:t>
      </w:r>
      <w:r w:rsidR="00460116" w:rsidRPr="00681DE7">
        <w:rPr>
          <w:rFonts w:ascii="Arial" w:hAnsi="Arial" w:cs="Arial"/>
          <w:bCs/>
          <w:sz w:val="24"/>
          <w:szCs w:val="24"/>
          <w:lang w:val="en-GB"/>
        </w:rPr>
        <w:t>.</w:t>
      </w:r>
      <w:r w:rsidR="0021160B" w:rsidRPr="00681DE7">
        <w:rPr>
          <w:rFonts w:ascii="Arial" w:hAnsi="Arial" w:cs="Arial"/>
          <w:bCs/>
          <w:sz w:val="24"/>
          <w:szCs w:val="24"/>
          <w:lang w:val="en-GB"/>
        </w:rPr>
        <w:t xml:space="preserve"> </w:t>
      </w:r>
      <w:r w:rsidR="00CB7B06" w:rsidRPr="00681DE7">
        <w:rPr>
          <w:rFonts w:ascii="Arial" w:hAnsi="Arial" w:cs="Arial"/>
          <w:bCs/>
          <w:sz w:val="24"/>
          <w:szCs w:val="24"/>
          <w:lang w:val="en-GB"/>
        </w:rPr>
        <w:t xml:space="preserve">They were also </w:t>
      </w:r>
      <w:r w:rsidR="00A77B04" w:rsidRPr="00681DE7">
        <w:rPr>
          <w:rFonts w:ascii="Arial" w:hAnsi="Arial" w:cs="Arial"/>
          <w:bCs/>
          <w:sz w:val="24"/>
          <w:szCs w:val="24"/>
          <w:lang w:val="en-GB"/>
        </w:rPr>
        <w:t xml:space="preserve">– </w:t>
      </w:r>
      <w:r w:rsidR="00CB7B06" w:rsidRPr="00681DE7">
        <w:rPr>
          <w:rFonts w:ascii="Arial" w:hAnsi="Arial" w:cs="Arial"/>
          <w:bCs/>
          <w:sz w:val="24"/>
          <w:szCs w:val="24"/>
          <w:lang w:val="en-GB"/>
        </w:rPr>
        <w:t>until recently</w:t>
      </w:r>
      <w:r w:rsidR="0021160B" w:rsidRPr="00681DE7">
        <w:rPr>
          <w:rFonts w:ascii="Arial" w:hAnsi="Arial" w:cs="Arial"/>
          <w:bCs/>
          <w:sz w:val="24"/>
          <w:szCs w:val="24"/>
          <w:lang w:val="en-GB"/>
        </w:rPr>
        <w:t xml:space="preserve"> </w:t>
      </w:r>
      <w:r w:rsidR="00A77B04" w:rsidRPr="00681DE7">
        <w:rPr>
          <w:rFonts w:ascii="Arial" w:hAnsi="Arial" w:cs="Arial"/>
          <w:bCs/>
          <w:sz w:val="24"/>
          <w:szCs w:val="24"/>
          <w:lang w:val="en-GB"/>
        </w:rPr>
        <w:t xml:space="preserve">– </w:t>
      </w:r>
      <w:r w:rsidR="00480BF4" w:rsidRPr="00681DE7">
        <w:rPr>
          <w:rFonts w:ascii="Arial" w:hAnsi="Arial" w:cs="Arial"/>
          <w:bCs/>
          <w:sz w:val="24"/>
          <w:szCs w:val="24"/>
          <w:lang w:val="en-GB"/>
        </w:rPr>
        <w:t>displayed</w:t>
      </w:r>
      <w:r w:rsidR="0021160B" w:rsidRPr="00681DE7">
        <w:rPr>
          <w:rFonts w:ascii="Arial" w:hAnsi="Arial" w:cs="Arial"/>
          <w:bCs/>
          <w:sz w:val="24"/>
          <w:szCs w:val="24"/>
          <w:lang w:val="en-GB"/>
        </w:rPr>
        <w:t xml:space="preserve"> </w:t>
      </w:r>
      <w:r w:rsidR="00817147" w:rsidRPr="00681DE7">
        <w:rPr>
          <w:rFonts w:ascii="Arial" w:hAnsi="Arial" w:cs="Arial"/>
          <w:bCs/>
          <w:sz w:val="24"/>
          <w:szCs w:val="24"/>
          <w:lang w:val="en-GB"/>
        </w:rPr>
        <w:t xml:space="preserve">at </w:t>
      </w:r>
      <w:r w:rsidR="0021160B" w:rsidRPr="00681DE7">
        <w:rPr>
          <w:rFonts w:ascii="Arial" w:hAnsi="Arial" w:cs="Arial"/>
          <w:bCs/>
          <w:sz w:val="24"/>
          <w:szCs w:val="24"/>
          <w:lang w:val="en-GB"/>
        </w:rPr>
        <w:t>Nordic Co</w:t>
      </w:r>
      <w:r w:rsidR="00B46724" w:rsidRPr="00681DE7">
        <w:rPr>
          <w:rFonts w:ascii="Arial" w:hAnsi="Arial" w:cs="Arial"/>
          <w:bCs/>
          <w:sz w:val="24"/>
          <w:szCs w:val="24"/>
          <w:lang w:val="en-GB"/>
        </w:rPr>
        <w:t>uncil of Ministers website</w:t>
      </w:r>
      <w:r w:rsidR="0021160B" w:rsidRPr="00681DE7">
        <w:rPr>
          <w:rFonts w:ascii="Arial" w:hAnsi="Arial" w:cs="Arial"/>
          <w:bCs/>
          <w:sz w:val="24"/>
          <w:szCs w:val="24"/>
          <w:lang w:val="en-GB"/>
        </w:rPr>
        <w:t xml:space="preserve">. </w:t>
      </w:r>
      <w:r w:rsidR="00096188">
        <w:rPr>
          <w:rFonts w:ascii="Arial" w:hAnsi="Arial" w:cs="Arial"/>
          <w:bCs/>
          <w:sz w:val="24"/>
          <w:szCs w:val="24"/>
          <w:lang w:val="en-GB"/>
        </w:rPr>
        <w:t xml:space="preserve">The dissemination on the web-site is currently under revision. </w:t>
      </w:r>
    </w:p>
    <w:p w14:paraId="6D2B62DC" w14:textId="4B5E2D25" w:rsidR="00464205" w:rsidRDefault="0021160B" w:rsidP="00066017">
      <w:pPr>
        <w:spacing w:before="120" w:after="0" w:line="360" w:lineRule="auto"/>
        <w:jc w:val="both"/>
        <w:rPr>
          <w:rFonts w:ascii="Arial" w:hAnsi="Arial" w:cs="Arial"/>
          <w:bCs/>
          <w:sz w:val="24"/>
          <w:szCs w:val="24"/>
          <w:lang w:val="en-GB"/>
        </w:rPr>
      </w:pPr>
      <w:r w:rsidRPr="00681DE7">
        <w:rPr>
          <w:rFonts w:ascii="Arial" w:hAnsi="Arial" w:cs="Arial"/>
          <w:bCs/>
          <w:sz w:val="24"/>
          <w:szCs w:val="24"/>
          <w:lang w:val="en-GB"/>
        </w:rPr>
        <w:t xml:space="preserve">Finally, </w:t>
      </w:r>
      <w:r w:rsidR="00EF2F56" w:rsidRPr="00681DE7">
        <w:rPr>
          <w:rFonts w:ascii="Arial" w:hAnsi="Arial" w:cs="Arial"/>
          <w:bCs/>
          <w:sz w:val="24"/>
          <w:szCs w:val="24"/>
          <w:lang w:val="en-GB"/>
        </w:rPr>
        <w:t>the indicators</w:t>
      </w:r>
      <w:r w:rsidRPr="00681DE7">
        <w:rPr>
          <w:rFonts w:ascii="Arial" w:hAnsi="Arial" w:cs="Arial"/>
          <w:bCs/>
          <w:sz w:val="24"/>
          <w:szCs w:val="24"/>
          <w:lang w:val="en-GB"/>
        </w:rPr>
        <w:t xml:space="preserve"> were published in </w:t>
      </w:r>
      <w:r w:rsidR="00817147" w:rsidRPr="00681DE7">
        <w:rPr>
          <w:rFonts w:ascii="Arial" w:hAnsi="Arial" w:cs="Arial"/>
          <w:bCs/>
          <w:sz w:val="24"/>
          <w:szCs w:val="24"/>
          <w:lang w:val="en-GB"/>
        </w:rPr>
        <w:t>the</w:t>
      </w:r>
      <w:r w:rsidRPr="00681DE7">
        <w:rPr>
          <w:rFonts w:ascii="Arial" w:hAnsi="Arial" w:cs="Arial"/>
          <w:bCs/>
          <w:sz w:val="24"/>
          <w:szCs w:val="24"/>
          <w:lang w:val="en-GB"/>
        </w:rPr>
        <w:t xml:space="preserve"> </w:t>
      </w:r>
      <w:r w:rsidR="000B122D" w:rsidRPr="00681DE7">
        <w:rPr>
          <w:rFonts w:ascii="Arial" w:hAnsi="Arial" w:cs="Arial"/>
          <w:bCs/>
          <w:sz w:val="24"/>
          <w:szCs w:val="24"/>
          <w:lang w:val="en-GB"/>
        </w:rPr>
        <w:t xml:space="preserve">publication </w:t>
      </w:r>
      <w:r w:rsidR="000B122D" w:rsidRPr="00681DE7">
        <w:rPr>
          <w:rFonts w:ascii="Arial" w:hAnsi="Arial" w:cs="Arial"/>
          <w:bCs/>
          <w:i/>
          <w:sz w:val="24"/>
          <w:szCs w:val="24"/>
          <w:lang w:val="en-GB"/>
        </w:rPr>
        <w:t>Nordic Sustainable Development Indicators 2014</w:t>
      </w:r>
      <w:r w:rsidR="00681DE7">
        <w:rPr>
          <w:rFonts w:ascii="Arial" w:hAnsi="Arial" w:cs="Arial"/>
          <w:bCs/>
          <w:i/>
          <w:sz w:val="24"/>
          <w:szCs w:val="24"/>
          <w:lang w:val="en-GB"/>
        </w:rPr>
        <w:t xml:space="preserve"> </w:t>
      </w:r>
      <w:r w:rsidR="00681DE7" w:rsidRPr="00681DE7">
        <w:rPr>
          <w:rFonts w:ascii="Arial" w:hAnsi="Arial" w:cs="Arial"/>
          <w:bCs/>
          <w:sz w:val="24"/>
          <w:szCs w:val="24"/>
          <w:lang w:val="en-GB"/>
        </w:rPr>
        <w:t>(NCM 2014)</w:t>
      </w:r>
      <w:r w:rsidR="00733C93" w:rsidRPr="00681DE7">
        <w:rPr>
          <w:rFonts w:ascii="Arial" w:hAnsi="Arial" w:cs="Arial"/>
          <w:bCs/>
          <w:i/>
          <w:sz w:val="24"/>
          <w:szCs w:val="24"/>
          <w:lang w:val="en-GB"/>
        </w:rPr>
        <w:t xml:space="preserve"> </w:t>
      </w:r>
      <w:r w:rsidR="00CB7B06" w:rsidRPr="00681DE7">
        <w:rPr>
          <w:rFonts w:ascii="Arial" w:hAnsi="Arial" w:cs="Arial"/>
          <w:bCs/>
          <w:sz w:val="24"/>
          <w:szCs w:val="24"/>
          <w:lang w:val="en-GB"/>
        </w:rPr>
        <w:t xml:space="preserve">as part of </w:t>
      </w:r>
      <w:r w:rsidR="00AD69A0" w:rsidRPr="00681DE7">
        <w:rPr>
          <w:rFonts w:ascii="Arial" w:hAnsi="Arial" w:cs="Arial"/>
          <w:bCs/>
          <w:sz w:val="24"/>
          <w:szCs w:val="24"/>
          <w:lang w:val="en-GB"/>
        </w:rPr>
        <w:t>the launch of</w:t>
      </w:r>
      <w:r w:rsidR="00CB7B06" w:rsidRPr="00681DE7">
        <w:rPr>
          <w:rFonts w:ascii="Arial" w:hAnsi="Arial" w:cs="Arial"/>
          <w:bCs/>
          <w:sz w:val="24"/>
          <w:szCs w:val="24"/>
          <w:lang w:val="en-GB"/>
        </w:rPr>
        <w:t xml:space="preserve"> </w:t>
      </w:r>
      <w:r w:rsidR="00817147" w:rsidRPr="00681DE7">
        <w:rPr>
          <w:rFonts w:ascii="Arial" w:hAnsi="Arial" w:cs="Arial"/>
          <w:bCs/>
          <w:sz w:val="24"/>
          <w:szCs w:val="24"/>
          <w:lang w:val="en-GB"/>
        </w:rPr>
        <w:t>the indicators</w:t>
      </w:r>
      <w:r w:rsidR="000B122D" w:rsidRPr="00681DE7">
        <w:rPr>
          <w:rFonts w:ascii="Arial" w:hAnsi="Arial" w:cs="Arial"/>
          <w:bCs/>
          <w:i/>
          <w:sz w:val="24"/>
          <w:szCs w:val="24"/>
          <w:lang w:val="en-GB"/>
        </w:rPr>
        <w:t>.</w:t>
      </w:r>
      <w:r w:rsidR="00B879DE" w:rsidRPr="00681DE7">
        <w:rPr>
          <w:rFonts w:ascii="Arial" w:hAnsi="Arial" w:cs="Arial"/>
          <w:bCs/>
          <w:sz w:val="24"/>
          <w:szCs w:val="24"/>
          <w:lang w:val="en-GB"/>
        </w:rPr>
        <w:t xml:space="preserve"> </w:t>
      </w:r>
      <w:r w:rsidR="00673619">
        <w:rPr>
          <w:rFonts w:ascii="Arial" w:hAnsi="Arial" w:cs="Arial"/>
          <w:bCs/>
          <w:sz w:val="24"/>
          <w:szCs w:val="24"/>
          <w:lang w:val="en-GB"/>
        </w:rPr>
        <w:t>T</w:t>
      </w:r>
      <w:r w:rsidR="00673619" w:rsidRPr="00681DE7">
        <w:rPr>
          <w:rFonts w:ascii="Arial" w:hAnsi="Arial" w:cs="Arial"/>
          <w:bCs/>
          <w:sz w:val="24"/>
          <w:szCs w:val="24"/>
          <w:lang w:val="en-GB"/>
        </w:rPr>
        <w:t>he development and maintenance of the indicators has been led by Statistics Denmark</w:t>
      </w:r>
      <w:r w:rsidR="00673619">
        <w:rPr>
          <w:rFonts w:ascii="Arial" w:hAnsi="Arial" w:cs="Arial"/>
          <w:bCs/>
          <w:sz w:val="24"/>
          <w:szCs w:val="24"/>
          <w:lang w:val="en-GB"/>
        </w:rPr>
        <w:t xml:space="preserve"> and is now </w:t>
      </w:r>
      <w:r w:rsidR="00673619">
        <w:rPr>
          <w:rFonts w:ascii="Arial" w:hAnsi="Arial" w:cs="Arial"/>
          <w:bCs/>
          <w:sz w:val="24"/>
          <w:szCs w:val="24"/>
          <w:lang w:val="en-GB"/>
        </w:rPr>
        <w:lastRenderedPageBreak/>
        <w:t xml:space="preserve">being updated by </w:t>
      </w:r>
      <w:r w:rsidR="00260A75" w:rsidRPr="00681DE7">
        <w:rPr>
          <w:rFonts w:ascii="Arial" w:hAnsi="Arial" w:cs="Arial"/>
          <w:bCs/>
          <w:i/>
          <w:sz w:val="24"/>
          <w:szCs w:val="24"/>
          <w:lang w:val="en-GB"/>
        </w:rPr>
        <w:t>Statisticon</w:t>
      </w:r>
      <w:r w:rsidR="00260A75">
        <w:rPr>
          <w:rFonts w:ascii="Arial" w:hAnsi="Arial" w:cs="Arial"/>
          <w:bCs/>
          <w:sz w:val="24"/>
          <w:szCs w:val="24"/>
          <w:lang w:val="en-GB"/>
        </w:rPr>
        <w:t>, a Swedish company, which</w:t>
      </w:r>
      <w:r w:rsidR="00260A75" w:rsidRPr="00681DE7">
        <w:rPr>
          <w:rFonts w:ascii="Arial" w:hAnsi="Arial" w:cs="Arial"/>
          <w:bCs/>
          <w:sz w:val="24"/>
          <w:szCs w:val="24"/>
          <w:lang w:val="en-GB"/>
        </w:rPr>
        <w:t xml:space="preserve"> from 2018 </w:t>
      </w:r>
      <w:r w:rsidR="00260A75">
        <w:rPr>
          <w:rFonts w:ascii="Arial" w:hAnsi="Arial" w:cs="Arial"/>
          <w:bCs/>
          <w:sz w:val="24"/>
          <w:szCs w:val="24"/>
          <w:lang w:val="en-GB"/>
        </w:rPr>
        <w:t xml:space="preserve">is </w:t>
      </w:r>
      <w:r w:rsidR="00260A75" w:rsidRPr="00681DE7">
        <w:rPr>
          <w:rFonts w:ascii="Arial" w:hAnsi="Arial" w:cs="Arial"/>
          <w:bCs/>
          <w:sz w:val="24"/>
          <w:szCs w:val="24"/>
          <w:lang w:val="en-GB"/>
        </w:rPr>
        <w:t xml:space="preserve">in charge of coordinating the Nordic Statistics for </w:t>
      </w:r>
      <w:r w:rsidR="00464205">
        <w:rPr>
          <w:rFonts w:ascii="Arial" w:hAnsi="Arial" w:cs="Arial"/>
          <w:bCs/>
          <w:sz w:val="24"/>
          <w:szCs w:val="24"/>
          <w:lang w:val="en-GB"/>
        </w:rPr>
        <w:t>the Nordic Council of Ministers.</w:t>
      </w:r>
    </w:p>
    <w:p w14:paraId="35DAC18D" w14:textId="72B38CBF" w:rsidR="00066017" w:rsidRPr="00681DE7" w:rsidRDefault="009751F9" w:rsidP="00066017">
      <w:pPr>
        <w:spacing w:before="120" w:after="0" w:line="360" w:lineRule="auto"/>
        <w:jc w:val="both"/>
        <w:rPr>
          <w:rFonts w:ascii="Arial" w:hAnsi="Arial" w:cs="Arial"/>
          <w:bCs/>
          <w:i/>
          <w:sz w:val="24"/>
          <w:szCs w:val="24"/>
          <w:lang w:val="en-GB"/>
        </w:rPr>
      </w:pPr>
      <w:r w:rsidRPr="00681DE7">
        <w:rPr>
          <w:rFonts w:ascii="Arial" w:hAnsi="Arial" w:cs="Arial"/>
          <w:bCs/>
          <w:i/>
          <w:sz w:val="24"/>
          <w:szCs w:val="24"/>
          <w:lang w:val="en-GB"/>
        </w:rPr>
        <w:t>Adoption of the Generation</w:t>
      </w:r>
      <w:r w:rsidR="000B122D" w:rsidRPr="00681DE7">
        <w:rPr>
          <w:rFonts w:ascii="Arial" w:hAnsi="Arial" w:cs="Arial"/>
          <w:bCs/>
          <w:i/>
          <w:sz w:val="24"/>
          <w:szCs w:val="24"/>
          <w:lang w:val="en-GB"/>
        </w:rPr>
        <w:t xml:space="preserve"> 2030</w:t>
      </w:r>
      <w:r w:rsidRPr="00681DE7">
        <w:rPr>
          <w:rFonts w:ascii="Arial" w:hAnsi="Arial" w:cs="Arial"/>
          <w:bCs/>
          <w:i/>
          <w:sz w:val="24"/>
          <w:szCs w:val="24"/>
          <w:lang w:val="en-GB"/>
        </w:rPr>
        <w:t xml:space="preserve"> programme</w:t>
      </w:r>
    </w:p>
    <w:p w14:paraId="244017FD" w14:textId="78D6C8E3" w:rsidR="005169F1" w:rsidRDefault="001A0856" w:rsidP="005169F1">
      <w:pPr>
        <w:spacing w:before="120" w:after="0" w:line="360" w:lineRule="auto"/>
        <w:jc w:val="both"/>
        <w:rPr>
          <w:rFonts w:ascii="Arial" w:hAnsi="Arial" w:cs="Arial"/>
          <w:bCs/>
          <w:sz w:val="24"/>
          <w:szCs w:val="24"/>
          <w:lang w:val="en-GB"/>
        </w:rPr>
      </w:pPr>
      <w:r w:rsidRPr="00681DE7">
        <w:rPr>
          <w:rFonts w:ascii="Arial" w:hAnsi="Arial" w:cs="Arial"/>
          <w:bCs/>
          <w:sz w:val="24"/>
          <w:szCs w:val="24"/>
          <w:lang w:val="en-GB"/>
        </w:rPr>
        <w:t>In</w:t>
      </w:r>
      <w:r w:rsidR="009751F9" w:rsidRPr="00681DE7">
        <w:rPr>
          <w:rFonts w:ascii="Arial" w:hAnsi="Arial" w:cs="Arial"/>
          <w:bCs/>
          <w:sz w:val="24"/>
          <w:szCs w:val="24"/>
          <w:lang w:val="en-GB"/>
        </w:rPr>
        <w:t xml:space="preserve"> </w:t>
      </w:r>
      <w:r w:rsidR="003704ED" w:rsidRPr="00681DE7">
        <w:rPr>
          <w:rFonts w:ascii="Arial" w:hAnsi="Arial" w:cs="Arial"/>
          <w:bCs/>
          <w:sz w:val="24"/>
          <w:szCs w:val="24"/>
          <w:lang w:val="en-GB"/>
        </w:rPr>
        <w:t>2017</w:t>
      </w:r>
      <w:r w:rsidR="00AD69A0" w:rsidRPr="00681DE7">
        <w:rPr>
          <w:rFonts w:ascii="Arial" w:hAnsi="Arial" w:cs="Arial"/>
          <w:bCs/>
          <w:sz w:val="24"/>
          <w:szCs w:val="24"/>
          <w:lang w:val="en-GB"/>
        </w:rPr>
        <w:t>,</w:t>
      </w:r>
      <w:r w:rsidR="003704ED" w:rsidRPr="00681DE7">
        <w:rPr>
          <w:rFonts w:ascii="Arial" w:hAnsi="Arial" w:cs="Arial"/>
          <w:bCs/>
          <w:sz w:val="24"/>
          <w:szCs w:val="24"/>
          <w:lang w:val="en-GB"/>
        </w:rPr>
        <w:t xml:space="preserve"> the Ministers for Nordic Co-operation adopted the </w:t>
      </w:r>
      <w:r w:rsidR="003704ED" w:rsidRPr="00681DE7">
        <w:rPr>
          <w:rFonts w:ascii="Arial" w:hAnsi="Arial" w:cs="Arial"/>
          <w:bCs/>
          <w:i/>
          <w:sz w:val="24"/>
          <w:szCs w:val="24"/>
          <w:lang w:val="en-GB"/>
        </w:rPr>
        <w:t>Generation 2030 programme</w:t>
      </w:r>
      <w:r w:rsidR="005169F1" w:rsidRPr="00681DE7">
        <w:rPr>
          <w:rFonts w:ascii="Arial" w:hAnsi="Arial" w:cs="Arial"/>
          <w:bCs/>
          <w:i/>
          <w:sz w:val="24"/>
          <w:szCs w:val="24"/>
          <w:lang w:val="en-GB"/>
        </w:rPr>
        <w:t xml:space="preserve"> </w:t>
      </w:r>
      <w:r w:rsidR="005169F1" w:rsidRPr="00681DE7">
        <w:rPr>
          <w:rFonts w:ascii="Arial" w:hAnsi="Arial" w:cs="Arial"/>
          <w:bCs/>
          <w:sz w:val="24"/>
          <w:szCs w:val="24"/>
          <w:lang w:val="en-GB"/>
        </w:rPr>
        <w:t xml:space="preserve">for the period 2017–2020. The programme is an element in </w:t>
      </w:r>
      <w:r w:rsidRPr="00681DE7">
        <w:rPr>
          <w:rFonts w:ascii="Arial" w:hAnsi="Arial" w:cs="Arial"/>
          <w:bCs/>
          <w:sz w:val="24"/>
          <w:szCs w:val="24"/>
          <w:lang w:val="en-GB"/>
        </w:rPr>
        <w:t xml:space="preserve">the overall </w:t>
      </w:r>
      <w:r w:rsidR="005169F1" w:rsidRPr="00681DE7">
        <w:rPr>
          <w:rFonts w:ascii="Arial" w:hAnsi="Arial" w:cs="Arial"/>
          <w:bCs/>
          <w:sz w:val="24"/>
          <w:szCs w:val="24"/>
          <w:lang w:val="en-GB"/>
        </w:rPr>
        <w:t>strategy</w:t>
      </w:r>
      <w:r w:rsidRPr="00681DE7">
        <w:rPr>
          <w:rFonts w:ascii="Arial" w:hAnsi="Arial" w:cs="Arial"/>
          <w:bCs/>
          <w:sz w:val="24"/>
          <w:szCs w:val="24"/>
          <w:lang w:val="en-GB"/>
        </w:rPr>
        <w:t xml:space="preserve"> on sustainable development</w:t>
      </w:r>
      <w:r w:rsidRPr="00681DE7">
        <w:rPr>
          <w:rFonts w:ascii="Arial" w:hAnsi="Arial" w:cs="Arial"/>
          <w:bCs/>
          <w:i/>
          <w:sz w:val="24"/>
          <w:szCs w:val="24"/>
          <w:lang w:val="en-GB"/>
        </w:rPr>
        <w:t xml:space="preserve"> </w:t>
      </w:r>
      <w:r w:rsidRPr="00681DE7">
        <w:rPr>
          <w:rFonts w:ascii="Arial" w:hAnsi="Arial" w:cs="Arial"/>
          <w:bCs/>
          <w:sz w:val="24"/>
          <w:szCs w:val="24"/>
          <w:lang w:val="en-GB"/>
        </w:rPr>
        <w:t>mentioned above</w:t>
      </w:r>
      <w:r w:rsidR="003704ED" w:rsidRPr="00681DE7">
        <w:rPr>
          <w:rFonts w:ascii="Arial" w:hAnsi="Arial" w:cs="Arial"/>
          <w:bCs/>
          <w:sz w:val="24"/>
          <w:szCs w:val="24"/>
          <w:lang w:val="en-GB"/>
        </w:rPr>
        <w:t>.</w:t>
      </w:r>
      <w:r w:rsidR="005169F1" w:rsidRPr="00681DE7">
        <w:rPr>
          <w:rFonts w:ascii="Arial" w:hAnsi="Arial" w:cs="Arial"/>
          <w:bCs/>
          <w:sz w:val="24"/>
          <w:szCs w:val="24"/>
          <w:lang w:val="en-GB"/>
        </w:rPr>
        <w:t xml:space="preserve"> T</w:t>
      </w:r>
      <w:r w:rsidR="003704ED" w:rsidRPr="00681DE7">
        <w:rPr>
          <w:rFonts w:ascii="Arial" w:hAnsi="Arial" w:cs="Arial"/>
          <w:bCs/>
          <w:sz w:val="24"/>
          <w:szCs w:val="24"/>
          <w:lang w:val="en-GB"/>
        </w:rPr>
        <w:t>he programme will facilitate co-operation on the challenges faced jointly by the Nordic countries in achieving the UN’s Agenda 2030 and its 17 sustainable development goals (SDGs).</w:t>
      </w:r>
      <w:r w:rsidR="00784FE0" w:rsidRPr="00681DE7">
        <w:rPr>
          <w:rFonts w:ascii="Arial" w:hAnsi="Arial" w:cs="Arial"/>
          <w:bCs/>
          <w:sz w:val="24"/>
          <w:szCs w:val="24"/>
          <w:lang w:val="en-GB"/>
        </w:rPr>
        <w:t xml:space="preserve"> </w:t>
      </w:r>
    </w:p>
    <w:p w14:paraId="41C35897" w14:textId="79120933" w:rsidR="0017224A" w:rsidRPr="00681DE7" w:rsidRDefault="0017224A" w:rsidP="0017224A">
      <w:pPr>
        <w:spacing w:before="120" w:after="0" w:line="360" w:lineRule="auto"/>
        <w:jc w:val="both"/>
        <w:rPr>
          <w:rFonts w:ascii="Arial" w:hAnsi="Arial" w:cs="Arial"/>
          <w:bCs/>
          <w:sz w:val="24"/>
          <w:szCs w:val="24"/>
          <w:lang w:val="en-GB"/>
        </w:rPr>
      </w:pPr>
      <w:r w:rsidRPr="0017224A">
        <w:rPr>
          <w:rFonts w:ascii="Arial" w:hAnsi="Arial" w:cs="Arial"/>
          <w:bCs/>
          <w:sz w:val="24"/>
          <w:szCs w:val="24"/>
          <w:lang w:val="en-GB"/>
        </w:rPr>
        <w:t>The Nordic Council of Ministers has no formal role in the follow-up of Agenda 2030</w:t>
      </w:r>
      <w:r>
        <w:rPr>
          <w:rFonts w:ascii="Arial" w:hAnsi="Arial" w:cs="Arial"/>
          <w:bCs/>
          <w:sz w:val="24"/>
          <w:szCs w:val="24"/>
          <w:lang w:val="en-GB"/>
        </w:rPr>
        <w:t>,</w:t>
      </w:r>
      <w:r w:rsidRPr="0017224A">
        <w:rPr>
          <w:rFonts w:ascii="Arial" w:hAnsi="Arial" w:cs="Arial"/>
          <w:bCs/>
          <w:sz w:val="24"/>
          <w:szCs w:val="24"/>
          <w:lang w:val="en-GB"/>
        </w:rPr>
        <w:t xml:space="preserve"> but the Nordic Council of Ministers </w:t>
      </w:r>
      <w:r>
        <w:rPr>
          <w:rFonts w:ascii="Arial" w:hAnsi="Arial" w:cs="Arial"/>
          <w:bCs/>
          <w:sz w:val="24"/>
          <w:szCs w:val="24"/>
          <w:lang w:val="en-GB"/>
        </w:rPr>
        <w:t>aims to</w:t>
      </w:r>
      <w:r w:rsidRPr="0017224A">
        <w:rPr>
          <w:rFonts w:ascii="Arial" w:hAnsi="Arial" w:cs="Arial"/>
          <w:bCs/>
          <w:sz w:val="24"/>
          <w:szCs w:val="24"/>
          <w:lang w:val="en-GB"/>
        </w:rPr>
        <w:t xml:space="preserve"> support the Nordic countries in their work on Agenda 2030. This is done within the framework of the Nordic Generation 2030 program (NCM 2017B).</w:t>
      </w:r>
    </w:p>
    <w:p w14:paraId="20CFE472" w14:textId="24535070" w:rsidR="0017224A" w:rsidRPr="00681DE7" w:rsidRDefault="007F5CFC" w:rsidP="00066017">
      <w:pPr>
        <w:spacing w:before="120" w:after="0" w:line="360" w:lineRule="auto"/>
        <w:jc w:val="both"/>
        <w:rPr>
          <w:rFonts w:ascii="Arial" w:hAnsi="Arial" w:cs="Arial"/>
          <w:bCs/>
          <w:sz w:val="24"/>
          <w:szCs w:val="24"/>
          <w:lang w:val="en-GB"/>
        </w:rPr>
      </w:pPr>
      <w:r>
        <w:rPr>
          <w:rFonts w:ascii="Arial" w:hAnsi="Arial" w:cs="Arial"/>
          <w:bCs/>
          <w:sz w:val="24"/>
          <w:szCs w:val="24"/>
          <w:lang w:val="en-GB"/>
        </w:rPr>
        <w:t xml:space="preserve">By the adoption of the </w:t>
      </w:r>
      <w:r w:rsidRPr="007F5CFC">
        <w:rPr>
          <w:rFonts w:ascii="Arial" w:hAnsi="Arial" w:cs="Arial"/>
          <w:bCs/>
          <w:i/>
          <w:sz w:val="24"/>
          <w:szCs w:val="24"/>
          <w:lang w:val="en-GB"/>
        </w:rPr>
        <w:t>Generation 2030 programme</w:t>
      </w:r>
      <w:r w:rsidR="00AD69A0" w:rsidRPr="00681DE7">
        <w:rPr>
          <w:rFonts w:ascii="Arial" w:hAnsi="Arial" w:cs="Arial"/>
          <w:bCs/>
          <w:sz w:val="24"/>
          <w:szCs w:val="24"/>
          <w:lang w:val="en-GB"/>
        </w:rPr>
        <w:t>, t</w:t>
      </w:r>
      <w:r w:rsidR="00403EA8" w:rsidRPr="00681DE7">
        <w:rPr>
          <w:rFonts w:ascii="Arial" w:hAnsi="Arial" w:cs="Arial"/>
          <w:bCs/>
          <w:sz w:val="24"/>
          <w:szCs w:val="24"/>
          <w:lang w:val="en-GB"/>
        </w:rPr>
        <w:t xml:space="preserve">he </w:t>
      </w:r>
      <w:r w:rsidR="001A0856" w:rsidRPr="00681DE7">
        <w:rPr>
          <w:rFonts w:ascii="Arial" w:hAnsi="Arial" w:cs="Arial"/>
          <w:bCs/>
          <w:sz w:val="24"/>
          <w:szCs w:val="24"/>
          <w:lang w:val="en-GB"/>
        </w:rPr>
        <w:t xml:space="preserve">Nordic expert </w:t>
      </w:r>
      <w:r w:rsidR="003021F9" w:rsidRPr="00681DE7">
        <w:rPr>
          <w:rFonts w:ascii="Arial" w:hAnsi="Arial" w:cs="Arial"/>
          <w:bCs/>
          <w:sz w:val="24"/>
          <w:szCs w:val="24"/>
          <w:lang w:val="en-GB"/>
        </w:rPr>
        <w:t>group</w:t>
      </w:r>
      <w:r w:rsidR="005169F1" w:rsidRPr="00681DE7">
        <w:rPr>
          <w:rFonts w:ascii="Arial" w:hAnsi="Arial" w:cs="Arial"/>
          <w:bCs/>
          <w:sz w:val="24"/>
          <w:szCs w:val="24"/>
          <w:lang w:val="en-GB"/>
        </w:rPr>
        <w:t xml:space="preserve"> </w:t>
      </w:r>
      <w:r w:rsidR="001A0856" w:rsidRPr="00681DE7">
        <w:rPr>
          <w:rFonts w:ascii="Arial" w:hAnsi="Arial" w:cs="Arial"/>
          <w:bCs/>
          <w:sz w:val="24"/>
          <w:szCs w:val="24"/>
          <w:lang w:val="en-GB"/>
        </w:rPr>
        <w:t>found it</w:t>
      </w:r>
      <w:r w:rsidR="00403EA8" w:rsidRPr="00681DE7">
        <w:rPr>
          <w:rFonts w:ascii="Arial" w:hAnsi="Arial" w:cs="Arial"/>
          <w:bCs/>
          <w:sz w:val="24"/>
          <w:szCs w:val="24"/>
          <w:lang w:val="en-GB"/>
        </w:rPr>
        <w:t xml:space="preserve"> relevant</w:t>
      </w:r>
      <w:r w:rsidR="0079602E" w:rsidRPr="00681DE7">
        <w:rPr>
          <w:rFonts w:ascii="Arial" w:hAnsi="Arial" w:cs="Arial"/>
          <w:bCs/>
          <w:sz w:val="24"/>
          <w:szCs w:val="24"/>
          <w:lang w:val="en-GB"/>
        </w:rPr>
        <w:t xml:space="preserve"> to review the </w:t>
      </w:r>
      <w:r w:rsidR="001A0856" w:rsidRPr="00681DE7">
        <w:rPr>
          <w:rFonts w:ascii="Arial" w:hAnsi="Arial" w:cs="Arial"/>
          <w:bCs/>
          <w:sz w:val="24"/>
          <w:szCs w:val="24"/>
          <w:lang w:val="en-GB"/>
        </w:rPr>
        <w:t xml:space="preserve">present Nordic </w:t>
      </w:r>
      <w:r w:rsidR="0079602E" w:rsidRPr="00681DE7">
        <w:rPr>
          <w:rFonts w:ascii="Arial" w:hAnsi="Arial" w:cs="Arial"/>
          <w:bCs/>
          <w:sz w:val="24"/>
          <w:szCs w:val="24"/>
          <w:lang w:val="en-GB"/>
        </w:rPr>
        <w:t>sustainabili</w:t>
      </w:r>
      <w:r w:rsidR="001A0856" w:rsidRPr="00681DE7">
        <w:rPr>
          <w:rFonts w:ascii="Arial" w:hAnsi="Arial" w:cs="Arial"/>
          <w:bCs/>
          <w:sz w:val="24"/>
          <w:szCs w:val="24"/>
          <w:lang w:val="en-GB"/>
        </w:rPr>
        <w:t>ty indicators</w:t>
      </w:r>
      <w:r w:rsidR="0079602E" w:rsidRPr="00681DE7">
        <w:rPr>
          <w:rFonts w:ascii="Arial" w:hAnsi="Arial" w:cs="Arial"/>
          <w:bCs/>
          <w:sz w:val="24"/>
          <w:szCs w:val="24"/>
          <w:lang w:val="en-GB"/>
        </w:rPr>
        <w:t xml:space="preserve"> in the light of the 2030</w:t>
      </w:r>
      <w:r w:rsidR="00403EA8" w:rsidRPr="00681DE7">
        <w:rPr>
          <w:rFonts w:ascii="Arial" w:hAnsi="Arial" w:cs="Arial"/>
          <w:bCs/>
          <w:sz w:val="24"/>
          <w:szCs w:val="24"/>
          <w:lang w:val="en-GB"/>
        </w:rPr>
        <w:t>-A</w:t>
      </w:r>
      <w:r w:rsidR="0079602E" w:rsidRPr="00681DE7">
        <w:rPr>
          <w:rFonts w:ascii="Arial" w:hAnsi="Arial" w:cs="Arial"/>
          <w:bCs/>
          <w:sz w:val="24"/>
          <w:szCs w:val="24"/>
          <w:lang w:val="en-GB"/>
        </w:rPr>
        <w:t xml:space="preserve">genda. </w:t>
      </w:r>
      <w:r w:rsidR="00260A75">
        <w:rPr>
          <w:rFonts w:ascii="Arial" w:hAnsi="Arial" w:cs="Arial"/>
          <w:bCs/>
          <w:sz w:val="24"/>
          <w:szCs w:val="24"/>
          <w:lang w:val="en-GB"/>
        </w:rPr>
        <w:t xml:space="preserve">Statisticon </w:t>
      </w:r>
      <w:r w:rsidR="0079602E" w:rsidRPr="00681DE7">
        <w:rPr>
          <w:rFonts w:ascii="Arial" w:hAnsi="Arial" w:cs="Arial"/>
          <w:bCs/>
          <w:sz w:val="24"/>
          <w:szCs w:val="24"/>
          <w:lang w:val="en-GB"/>
        </w:rPr>
        <w:t>was commissioned</w:t>
      </w:r>
      <w:r w:rsidR="001A0856" w:rsidRPr="00681DE7">
        <w:rPr>
          <w:rFonts w:ascii="Arial" w:hAnsi="Arial" w:cs="Arial"/>
          <w:bCs/>
          <w:sz w:val="24"/>
          <w:szCs w:val="24"/>
          <w:lang w:val="en-GB"/>
        </w:rPr>
        <w:t xml:space="preserve"> to perform this task in </w:t>
      </w:r>
      <w:r w:rsidR="00817147" w:rsidRPr="00681DE7">
        <w:rPr>
          <w:rFonts w:ascii="Arial" w:hAnsi="Arial" w:cs="Arial"/>
          <w:bCs/>
          <w:sz w:val="24"/>
          <w:szCs w:val="24"/>
          <w:lang w:val="en-GB"/>
        </w:rPr>
        <w:t xml:space="preserve">the form of </w:t>
      </w:r>
      <w:r w:rsidR="001A0856" w:rsidRPr="00681DE7">
        <w:rPr>
          <w:rFonts w:ascii="Arial" w:hAnsi="Arial" w:cs="Arial"/>
          <w:bCs/>
          <w:sz w:val="24"/>
          <w:szCs w:val="24"/>
          <w:lang w:val="en-GB"/>
        </w:rPr>
        <w:t>a</w:t>
      </w:r>
      <w:r w:rsidR="0079602E" w:rsidRPr="00681DE7">
        <w:rPr>
          <w:rFonts w:ascii="Arial" w:hAnsi="Arial" w:cs="Arial"/>
          <w:bCs/>
          <w:sz w:val="24"/>
          <w:szCs w:val="24"/>
          <w:lang w:val="en-GB"/>
        </w:rPr>
        <w:t xml:space="preserve"> pilot study</w:t>
      </w:r>
      <w:r w:rsidR="005169F1" w:rsidRPr="00681DE7">
        <w:rPr>
          <w:rFonts w:ascii="Arial" w:hAnsi="Arial" w:cs="Arial"/>
          <w:bCs/>
          <w:sz w:val="24"/>
          <w:szCs w:val="24"/>
          <w:lang w:val="en-GB"/>
        </w:rPr>
        <w:t xml:space="preserve"> with a specific</w:t>
      </w:r>
      <w:r w:rsidR="0079602E" w:rsidRPr="00681DE7">
        <w:rPr>
          <w:rFonts w:ascii="Arial" w:hAnsi="Arial" w:cs="Arial"/>
          <w:bCs/>
          <w:sz w:val="24"/>
          <w:szCs w:val="24"/>
          <w:lang w:val="en-GB"/>
        </w:rPr>
        <w:t xml:space="preserve"> </w:t>
      </w:r>
      <w:r w:rsidR="00817147" w:rsidRPr="00681DE7">
        <w:rPr>
          <w:rFonts w:ascii="Arial" w:hAnsi="Arial" w:cs="Arial"/>
          <w:bCs/>
          <w:sz w:val="24"/>
          <w:szCs w:val="24"/>
          <w:lang w:val="en-GB"/>
        </w:rPr>
        <w:t>focus</w:t>
      </w:r>
      <w:r w:rsidR="0079602E" w:rsidRPr="00681DE7">
        <w:rPr>
          <w:rFonts w:ascii="Arial" w:hAnsi="Arial" w:cs="Arial"/>
          <w:bCs/>
          <w:sz w:val="24"/>
          <w:szCs w:val="24"/>
          <w:lang w:val="en-GB"/>
        </w:rPr>
        <w:t xml:space="preserve"> </w:t>
      </w:r>
      <w:r w:rsidR="005169F1" w:rsidRPr="00681DE7">
        <w:rPr>
          <w:rFonts w:ascii="Arial" w:hAnsi="Arial" w:cs="Arial"/>
          <w:bCs/>
          <w:sz w:val="24"/>
          <w:szCs w:val="24"/>
          <w:lang w:val="en-GB"/>
        </w:rPr>
        <w:t xml:space="preserve">on </w:t>
      </w:r>
      <w:r w:rsidR="0079602E" w:rsidRPr="00681DE7">
        <w:rPr>
          <w:rFonts w:ascii="Arial" w:hAnsi="Arial" w:cs="Arial"/>
          <w:bCs/>
          <w:sz w:val="24"/>
          <w:szCs w:val="24"/>
          <w:lang w:val="en-GB"/>
        </w:rPr>
        <w:t xml:space="preserve">indicators </w:t>
      </w:r>
      <w:r w:rsidR="005169F1" w:rsidRPr="00681DE7">
        <w:rPr>
          <w:rFonts w:ascii="Arial" w:hAnsi="Arial" w:cs="Arial"/>
          <w:bCs/>
          <w:sz w:val="24"/>
          <w:szCs w:val="24"/>
          <w:lang w:val="en-GB"/>
        </w:rPr>
        <w:t>connected to</w:t>
      </w:r>
      <w:r w:rsidR="0079602E" w:rsidRPr="00681DE7">
        <w:rPr>
          <w:rFonts w:ascii="Arial" w:hAnsi="Arial" w:cs="Arial"/>
          <w:bCs/>
          <w:sz w:val="24"/>
          <w:szCs w:val="24"/>
          <w:lang w:val="en-GB"/>
        </w:rPr>
        <w:t xml:space="preserve"> SDG 12 (Sustainable consumption and production). </w:t>
      </w:r>
    </w:p>
    <w:p w14:paraId="7394D78B" w14:textId="3B8C793F" w:rsidR="009751F9" w:rsidRPr="00681DE7" w:rsidRDefault="0079602E" w:rsidP="00066017">
      <w:pPr>
        <w:spacing w:before="120" w:after="0" w:line="360" w:lineRule="auto"/>
        <w:jc w:val="both"/>
        <w:rPr>
          <w:rFonts w:ascii="Arial" w:hAnsi="Arial" w:cs="Arial"/>
          <w:bCs/>
          <w:sz w:val="24"/>
          <w:szCs w:val="24"/>
          <w:lang w:val="en-GB"/>
        </w:rPr>
      </w:pPr>
      <w:r w:rsidRPr="00681DE7">
        <w:rPr>
          <w:rFonts w:ascii="Arial" w:hAnsi="Arial" w:cs="Arial"/>
          <w:bCs/>
          <w:sz w:val="24"/>
          <w:szCs w:val="24"/>
          <w:lang w:val="en-GB"/>
        </w:rPr>
        <w:t xml:space="preserve">The purpose of the </w:t>
      </w:r>
      <w:r w:rsidR="003021F9" w:rsidRPr="00681DE7">
        <w:rPr>
          <w:rFonts w:ascii="Arial" w:hAnsi="Arial" w:cs="Arial"/>
          <w:bCs/>
          <w:sz w:val="24"/>
          <w:szCs w:val="24"/>
          <w:lang w:val="en-GB"/>
        </w:rPr>
        <w:t>review</w:t>
      </w:r>
      <w:r w:rsidRPr="00681DE7">
        <w:rPr>
          <w:rFonts w:ascii="Arial" w:hAnsi="Arial" w:cs="Arial"/>
          <w:bCs/>
          <w:sz w:val="24"/>
          <w:szCs w:val="24"/>
          <w:lang w:val="en-GB"/>
        </w:rPr>
        <w:t xml:space="preserve"> </w:t>
      </w:r>
      <w:r w:rsidR="0017224A">
        <w:rPr>
          <w:rFonts w:ascii="Arial" w:hAnsi="Arial" w:cs="Arial"/>
          <w:bCs/>
          <w:sz w:val="24"/>
          <w:szCs w:val="24"/>
          <w:lang w:val="en-GB"/>
        </w:rPr>
        <w:t>has been</w:t>
      </w:r>
      <w:r w:rsidRPr="00681DE7">
        <w:rPr>
          <w:rFonts w:ascii="Arial" w:hAnsi="Arial" w:cs="Arial"/>
          <w:bCs/>
          <w:sz w:val="24"/>
          <w:szCs w:val="24"/>
          <w:lang w:val="en-GB"/>
        </w:rPr>
        <w:t xml:space="preserve"> to serve as a guide for the Nordic Council of Ministers (NCM) in its </w:t>
      </w:r>
      <w:r w:rsidR="00817147" w:rsidRPr="00681DE7">
        <w:rPr>
          <w:rFonts w:ascii="Arial" w:hAnsi="Arial" w:cs="Arial"/>
          <w:bCs/>
          <w:sz w:val="24"/>
          <w:szCs w:val="24"/>
          <w:lang w:val="en-GB"/>
        </w:rPr>
        <w:t>future</w:t>
      </w:r>
      <w:r w:rsidRPr="00681DE7">
        <w:rPr>
          <w:rFonts w:ascii="Arial" w:hAnsi="Arial" w:cs="Arial"/>
          <w:bCs/>
          <w:sz w:val="24"/>
          <w:szCs w:val="24"/>
          <w:lang w:val="en-GB"/>
        </w:rPr>
        <w:t xml:space="preserve"> </w:t>
      </w:r>
      <w:r w:rsidR="005169F1" w:rsidRPr="00681DE7">
        <w:rPr>
          <w:rFonts w:ascii="Arial" w:hAnsi="Arial" w:cs="Arial"/>
          <w:bCs/>
          <w:sz w:val="24"/>
          <w:szCs w:val="24"/>
          <w:lang w:val="en-GB"/>
        </w:rPr>
        <w:t>u</w:t>
      </w:r>
      <w:r w:rsidR="00817147" w:rsidRPr="00681DE7">
        <w:rPr>
          <w:rFonts w:ascii="Arial" w:hAnsi="Arial" w:cs="Arial"/>
          <w:bCs/>
          <w:sz w:val="24"/>
          <w:szCs w:val="24"/>
          <w:lang w:val="en-GB"/>
        </w:rPr>
        <w:t xml:space="preserve">se of statistics monitoring </w:t>
      </w:r>
      <w:r w:rsidR="003021F9" w:rsidRPr="00681DE7">
        <w:rPr>
          <w:rFonts w:ascii="Arial" w:hAnsi="Arial" w:cs="Arial"/>
          <w:bCs/>
          <w:sz w:val="24"/>
          <w:szCs w:val="24"/>
          <w:lang w:val="en-GB"/>
        </w:rPr>
        <w:t>s</w:t>
      </w:r>
      <w:r w:rsidR="00817147" w:rsidRPr="00681DE7">
        <w:rPr>
          <w:rFonts w:ascii="Arial" w:hAnsi="Arial" w:cs="Arial"/>
          <w:bCs/>
          <w:sz w:val="24"/>
          <w:szCs w:val="24"/>
          <w:lang w:val="en-GB"/>
        </w:rPr>
        <w:t>ustainable development</w:t>
      </w:r>
      <w:r w:rsidR="00FB2A46">
        <w:rPr>
          <w:rFonts w:ascii="Arial" w:hAnsi="Arial" w:cs="Arial"/>
          <w:bCs/>
          <w:sz w:val="24"/>
          <w:szCs w:val="24"/>
          <w:lang w:val="en-GB"/>
        </w:rPr>
        <w:t xml:space="preserve"> and is partly based on interviews with the Nordic statistical institutes.</w:t>
      </w:r>
      <w:r w:rsidR="00403EA8" w:rsidRPr="00681DE7">
        <w:rPr>
          <w:rFonts w:ascii="Arial" w:hAnsi="Arial" w:cs="Arial"/>
          <w:bCs/>
          <w:sz w:val="24"/>
          <w:szCs w:val="24"/>
          <w:lang w:val="en-GB"/>
        </w:rPr>
        <w:t xml:space="preserve"> </w:t>
      </w:r>
      <w:r w:rsidR="00817147" w:rsidRPr="00681DE7">
        <w:rPr>
          <w:rFonts w:ascii="Arial" w:hAnsi="Arial" w:cs="Arial"/>
          <w:bCs/>
          <w:sz w:val="24"/>
          <w:szCs w:val="24"/>
          <w:lang w:val="en-GB"/>
        </w:rPr>
        <w:t xml:space="preserve">The report was presented to the </w:t>
      </w:r>
      <w:r w:rsidR="003021F9" w:rsidRPr="00681DE7">
        <w:rPr>
          <w:rFonts w:ascii="Arial" w:hAnsi="Arial" w:cs="Arial"/>
          <w:bCs/>
          <w:sz w:val="24"/>
          <w:szCs w:val="24"/>
          <w:lang w:val="en-GB"/>
        </w:rPr>
        <w:t xml:space="preserve">Nordic </w:t>
      </w:r>
      <w:r w:rsidR="00817147" w:rsidRPr="00681DE7">
        <w:rPr>
          <w:rFonts w:ascii="Arial" w:hAnsi="Arial" w:cs="Arial"/>
          <w:bCs/>
          <w:sz w:val="24"/>
          <w:szCs w:val="24"/>
          <w:lang w:val="en-GB"/>
        </w:rPr>
        <w:t>expert group</w:t>
      </w:r>
      <w:r w:rsidR="003021F9" w:rsidRPr="00681DE7">
        <w:rPr>
          <w:rFonts w:ascii="Arial" w:hAnsi="Arial" w:cs="Arial"/>
          <w:bCs/>
          <w:sz w:val="24"/>
          <w:szCs w:val="24"/>
          <w:lang w:val="en-GB"/>
        </w:rPr>
        <w:t xml:space="preserve"> on susta</w:t>
      </w:r>
      <w:r w:rsidR="00CB7B06" w:rsidRPr="00681DE7">
        <w:rPr>
          <w:rFonts w:ascii="Arial" w:hAnsi="Arial" w:cs="Arial"/>
          <w:bCs/>
          <w:sz w:val="24"/>
          <w:szCs w:val="24"/>
          <w:lang w:val="en-GB"/>
        </w:rPr>
        <w:t>inable development</w:t>
      </w:r>
      <w:r w:rsidR="00817147" w:rsidRPr="00681DE7">
        <w:rPr>
          <w:rFonts w:ascii="Arial" w:hAnsi="Arial" w:cs="Arial"/>
          <w:bCs/>
          <w:sz w:val="24"/>
          <w:szCs w:val="24"/>
          <w:lang w:val="en-GB"/>
        </w:rPr>
        <w:t xml:space="preserve"> in April 2019</w:t>
      </w:r>
      <w:r w:rsidR="000C35A2">
        <w:rPr>
          <w:rFonts w:ascii="Arial" w:hAnsi="Arial" w:cs="Arial"/>
          <w:bCs/>
          <w:sz w:val="24"/>
          <w:szCs w:val="24"/>
          <w:lang w:val="en-GB"/>
        </w:rPr>
        <w:t xml:space="preserve"> </w:t>
      </w:r>
      <w:r w:rsidR="00817147" w:rsidRPr="00681DE7">
        <w:rPr>
          <w:rFonts w:ascii="Arial" w:hAnsi="Arial" w:cs="Arial"/>
          <w:bCs/>
          <w:sz w:val="24"/>
          <w:szCs w:val="24"/>
          <w:lang w:val="en-GB"/>
        </w:rPr>
        <w:t xml:space="preserve">and some of the </w:t>
      </w:r>
      <w:r w:rsidR="00403EA8" w:rsidRPr="00681DE7">
        <w:rPr>
          <w:rFonts w:ascii="Arial" w:hAnsi="Arial" w:cs="Arial"/>
          <w:bCs/>
          <w:sz w:val="24"/>
          <w:szCs w:val="24"/>
          <w:lang w:val="en-GB"/>
        </w:rPr>
        <w:t xml:space="preserve">central findings </w:t>
      </w:r>
      <w:r w:rsidR="001A0856" w:rsidRPr="00681DE7">
        <w:rPr>
          <w:rFonts w:ascii="Arial" w:hAnsi="Arial" w:cs="Arial"/>
          <w:bCs/>
          <w:sz w:val="24"/>
          <w:szCs w:val="24"/>
          <w:lang w:val="en-GB"/>
        </w:rPr>
        <w:t>are listed</w:t>
      </w:r>
      <w:r w:rsidR="00817147" w:rsidRPr="00681DE7">
        <w:rPr>
          <w:rFonts w:ascii="Arial" w:hAnsi="Arial" w:cs="Arial"/>
          <w:bCs/>
          <w:sz w:val="24"/>
          <w:szCs w:val="24"/>
          <w:lang w:val="en-GB"/>
        </w:rPr>
        <w:t xml:space="preserve"> below</w:t>
      </w:r>
      <w:r w:rsidR="00403EA8" w:rsidRPr="00681DE7">
        <w:rPr>
          <w:rFonts w:ascii="Arial" w:hAnsi="Arial" w:cs="Arial"/>
          <w:bCs/>
          <w:sz w:val="24"/>
          <w:szCs w:val="24"/>
          <w:lang w:val="en-GB"/>
        </w:rPr>
        <w:t>.</w:t>
      </w:r>
      <w:r w:rsidR="007F5CFC">
        <w:rPr>
          <w:rFonts w:ascii="Arial" w:hAnsi="Arial" w:cs="Arial"/>
          <w:bCs/>
          <w:sz w:val="24"/>
          <w:szCs w:val="24"/>
          <w:lang w:val="en-GB"/>
        </w:rPr>
        <w:t xml:space="preserve"> The expert group has not yet </w:t>
      </w:r>
      <w:r w:rsidR="00FB2A46">
        <w:rPr>
          <w:rFonts w:ascii="Arial" w:hAnsi="Arial" w:cs="Arial"/>
          <w:bCs/>
          <w:sz w:val="24"/>
          <w:szCs w:val="24"/>
          <w:lang w:val="en-GB"/>
        </w:rPr>
        <w:t xml:space="preserve">recommended a future development of the Nordic sustainable development indicators. </w:t>
      </w:r>
    </w:p>
    <w:p w14:paraId="301DE3B6" w14:textId="77777777" w:rsidR="005169F1" w:rsidRPr="00681DE7" w:rsidRDefault="00681DE7"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6B1F86" w:rsidRPr="00681DE7">
        <w:rPr>
          <w:rFonts w:ascii="Arial" w:hAnsi="Arial" w:cs="Arial"/>
          <w:b/>
          <w:sz w:val="24"/>
          <w:szCs w:val="24"/>
          <w:lang w:val="en-GB"/>
        </w:rPr>
        <w:t xml:space="preserve">. </w:t>
      </w:r>
      <w:r w:rsidR="00C005A9" w:rsidRPr="00681DE7">
        <w:rPr>
          <w:rFonts w:ascii="Arial" w:hAnsi="Arial" w:cs="Arial"/>
          <w:b/>
          <w:sz w:val="24"/>
          <w:szCs w:val="24"/>
          <w:lang w:val="en-GB"/>
        </w:rPr>
        <w:t xml:space="preserve">Analysis </w:t>
      </w:r>
    </w:p>
    <w:p w14:paraId="05B58C78" w14:textId="3407DA20" w:rsidR="005871E9" w:rsidRPr="00681DE7" w:rsidRDefault="00681DE7" w:rsidP="006B1F86">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6B1F86" w:rsidRPr="00681DE7">
        <w:rPr>
          <w:rFonts w:ascii="Arial" w:hAnsi="Arial" w:cs="Arial"/>
          <w:i/>
          <w:sz w:val="24"/>
          <w:szCs w:val="24"/>
          <w:lang w:val="en-GB"/>
        </w:rPr>
        <w:t>.1.</w:t>
      </w:r>
      <w:r w:rsidR="00333FE9" w:rsidRPr="00681DE7">
        <w:rPr>
          <w:rFonts w:ascii="Arial" w:hAnsi="Arial" w:cs="Arial"/>
          <w:i/>
          <w:sz w:val="24"/>
          <w:szCs w:val="24"/>
          <w:lang w:val="en-GB"/>
        </w:rPr>
        <w:t xml:space="preserve"> The Nordic </w:t>
      </w:r>
      <w:r w:rsidR="007171F1">
        <w:rPr>
          <w:rFonts w:ascii="Arial" w:hAnsi="Arial" w:cs="Arial"/>
          <w:i/>
          <w:sz w:val="24"/>
          <w:szCs w:val="24"/>
          <w:lang w:val="en-GB"/>
        </w:rPr>
        <w:t>sustainable development indicators</w:t>
      </w:r>
    </w:p>
    <w:p w14:paraId="35ACC56F" w14:textId="76E23F33" w:rsidR="00BC42C7" w:rsidRDefault="00260A75" w:rsidP="004E6E97">
      <w:pPr>
        <w:spacing w:before="360" w:after="0" w:line="360" w:lineRule="auto"/>
        <w:jc w:val="both"/>
        <w:rPr>
          <w:rFonts w:ascii="Arial" w:hAnsi="Arial" w:cs="Arial"/>
          <w:bCs/>
          <w:sz w:val="24"/>
          <w:szCs w:val="24"/>
          <w:lang w:val="en-GB"/>
        </w:rPr>
      </w:pPr>
      <w:r>
        <w:rPr>
          <w:rFonts w:ascii="Arial" w:hAnsi="Arial" w:cs="Arial"/>
          <w:bCs/>
          <w:sz w:val="24"/>
          <w:szCs w:val="24"/>
          <w:lang w:val="en-GB"/>
        </w:rPr>
        <w:t>The Nordic sustainable development indicators</w:t>
      </w:r>
      <w:r w:rsidRPr="00260A75">
        <w:rPr>
          <w:rFonts w:ascii="Arial" w:hAnsi="Arial" w:cs="Arial"/>
          <w:bCs/>
          <w:sz w:val="24"/>
          <w:szCs w:val="24"/>
          <w:lang w:val="en-GB"/>
        </w:rPr>
        <w:t xml:space="preserve"> show long-term trends in the following focus areas: the Nordic welfare model; viable ecosystems; changing climate; sustainable use of the earth’s resources; and education, research and</w:t>
      </w:r>
      <w:r>
        <w:t xml:space="preserve"> </w:t>
      </w:r>
      <w:r w:rsidRPr="00260A75">
        <w:rPr>
          <w:rFonts w:ascii="Arial" w:hAnsi="Arial" w:cs="Arial"/>
          <w:bCs/>
          <w:sz w:val="24"/>
          <w:szCs w:val="24"/>
          <w:lang w:val="en-GB"/>
        </w:rPr>
        <w:t>innovation.</w:t>
      </w:r>
      <w:bookmarkStart w:id="1" w:name="_Ref511470"/>
      <w:bookmarkStart w:id="2" w:name="_Ref718949"/>
      <w:r w:rsidR="004E6E97">
        <w:rPr>
          <w:rFonts w:ascii="Arial" w:hAnsi="Arial" w:cs="Arial"/>
          <w:bCs/>
          <w:sz w:val="24"/>
          <w:szCs w:val="24"/>
          <w:lang w:val="en-GB"/>
        </w:rPr>
        <w:t xml:space="preserve"> </w:t>
      </w:r>
      <w:r w:rsidRPr="004E6E97">
        <w:rPr>
          <w:rFonts w:ascii="Arial" w:hAnsi="Arial" w:cs="Arial"/>
          <w:bCs/>
          <w:sz w:val="24"/>
          <w:szCs w:val="24"/>
          <w:lang w:val="en-GB"/>
        </w:rPr>
        <w:t>The focus areas reflect the</w:t>
      </w:r>
      <w:r w:rsidR="004E6E97" w:rsidRPr="004E6E97">
        <w:rPr>
          <w:rFonts w:ascii="Arial" w:hAnsi="Arial" w:cs="Arial"/>
          <w:bCs/>
          <w:sz w:val="24"/>
          <w:szCs w:val="24"/>
          <w:lang w:val="en-GB"/>
        </w:rPr>
        <w:t xml:space="preserve"> overall strategy of sustainable develop</w:t>
      </w:r>
      <w:r w:rsidR="00713290">
        <w:rPr>
          <w:rFonts w:ascii="Arial" w:hAnsi="Arial" w:cs="Arial"/>
          <w:bCs/>
          <w:sz w:val="24"/>
          <w:szCs w:val="24"/>
          <w:lang w:val="en-GB"/>
        </w:rPr>
        <w:t xml:space="preserve">ment in the Nordic cooperation. </w:t>
      </w:r>
    </w:p>
    <w:p w14:paraId="517F42A4" w14:textId="294DA221" w:rsidR="004E6E97" w:rsidRPr="00681DE7" w:rsidRDefault="00BC42C7" w:rsidP="00BC42C7">
      <w:pPr>
        <w:spacing w:before="120" w:after="0" w:line="360" w:lineRule="auto"/>
        <w:jc w:val="both"/>
        <w:rPr>
          <w:rFonts w:ascii="Arial" w:hAnsi="Arial" w:cs="Arial"/>
          <w:bCs/>
          <w:sz w:val="24"/>
          <w:szCs w:val="24"/>
          <w:lang w:val="en-GB"/>
        </w:rPr>
      </w:pPr>
      <w:r>
        <w:rPr>
          <w:rFonts w:ascii="Arial" w:hAnsi="Arial" w:cs="Arial"/>
          <w:bCs/>
          <w:sz w:val="24"/>
          <w:szCs w:val="24"/>
          <w:lang w:val="en-GB"/>
        </w:rPr>
        <w:br w:type="page"/>
      </w:r>
      <w:r w:rsidR="004E6E97" w:rsidRPr="00681DE7">
        <w:rPr>
          <w:rFonts w:ascii="Arial" w:hAnsi="Arial" w:cs="Arial"/>
          <w:bCs/>
          <w:sz w:val="24"/>
          <w:szCs w:val="24"/>
          <w:lang w:val="en-GB"/>
        </w:rPr>
        <w:lastRenderedPageBreak/>
        <w:t xml:space="preserve">The Nordic sustainability strategy is </w:t>
      </w:r>
      <w:r w:rsidR="004E6E97">
        <w:rPr>
          <w:rFonts w:ascii="Arial" w:hAnsi="Arial" w:cs="Arial"/>
          <w:bCs/>
          <w:sz w:val="24"/>
          <w:szCs w:val="24"/>
          <w:lang w:val="en-GB"/>
        </w:rPr>
        <w:t xml:space="preserve">however </w:t>
      </w:r>
      <w:r w:rsidR="004E6E97" w:rsidRPr="00681DE7">
        <w:rPr>
          <w:rFonts w:ascii="Arial" w:hAnsi="Arial" w:cs="Arial"/>
          <w:bCs/>
          <w:sz w:val="24"/>
          <w:szCs w:val="24"/>
          <w:lang w:val="en-GB"/>
        </w:rPr>
        <w:t>mainly focus</w:t>
      </w:r>
      <w:r w:rsidR="004E6E97">
        <w:rPr>
          <w:rFonts w:ascii="Arial" w:hAnsi="Arial" w:cs="Arial"/>
          <w:bCs/>
          <w:sz w:val="24"/>
          <w:szCs w:val="24"/>
          <w:lang w:val="en-GB"/>
        </w:rPr>
        <w:t>ed</w:t>
      </w:r>
      <w:r w:rsidR="004E6E97" w:rsidRPr="00681DE7">
        <w:rPr>
          <w:rFonts w:ascii="Arial" w:hAnsi="Arial" w:cs="Arial"/>
          <w:bCs/>
          <w:sz w:val="24"/>
          <w:szCs w:val="24"/>
          <w:lang w:val="en-GB"/>
        </w:rPr>
        <w:t xml:space="preserve"> on collaboration and other qualitative aspects and is in general not formulated in terms of measurable targets. Examples of goals </w:t>
      </w:r>
      <w:r w:rsidR="004E6E97">
        <w:rPr>
          <w:rFonts w:ascii="Arial" w:hAnsi="Arial" w:cs="Arial"/>
          <w:bCs/>
          <w:sz w:val="24"/>
          <w:szCs w:val="24"/>
          <w:lang w:val="en-GB"/>
        </w:rPr>
        <w:t xml:space="preserve">under the focus areas </w:t>
      </w:r>
      <w:r w:rsidR="004E6E97" w:rsidRPr="00681DE7">
        <w:rPr>
          <w:rFonts w:ascii="Arial" w:hAnsi="Arial" w:cs="Arial"/>
          <w:bCs/>
          <w:sz w:val="24"/>
          <w:szCs w:val="24"/>
          <w:lang w:val="en-GB"/>
        </w:rPr>
        <w:t>in the Nordic Strategy are:</w:t>
      </w:r>
    </w:p>
    <w:p w14:paraId="1A2C6D44" w14:textId="77777777" w:rsidR="004E6E97" w:rsidRPr="007F5CFC" w:rsidRDefault="004E6E97" w:rsidP="004E6E97">
      <w:pPr>
        <w:numPr>
          <w:ilvl w:val="0"/>
          <w:numId w:val="6"/>
        </w:numPr>
        <w:spacing w:before="100" w:beforeAutospacing="1" w:after="0" w:line="360" w:lineRule="auto"/>
        <w:jc w:val="both"/>
        <w:rPr>
          <w:rFonts w:ascii="Arial" w:hAnsi="Arial" w:cs="Arial"/>
          <w:bCs/>
          <w:i/>
          <w:szCs w:val="24"/>
          <w:lang w:val="en-GB"/>
        </w:rPr>
      </w:pPr>
      <w:r w:rsidRPr="007F5CFC">
        <w:rPr>
          <w:rFonts w:ascii="Arial" w:hAnsi="Arial" w:cs="Arial"/>
          <w:bCs/>
          <w:szCs w:val="24"/>
          <w:lang w:val="en-GB"/>
        </w:rPr>
        <w:t>”</w:t>
      </w:r>
      <w:r w:rsidRPr="007F5CFC">
        <w:rPr>
          <w:rFonts w:ascii="Arial" w:hAnsi="Arial" w:cs="Arial"/>
          <w:bCs/>
          <w:i/>
          <w:szCs w:val="24"/>
          <w:lang w:val="en-GB"/>
        </w:rPr>
        <w:t>Scientific results will be used more often as the basis of decisions relating to formulation of policies.”</w:t>
      </w:r>
    </w:p>
    <w:p w14:paraId="35687B75" w14:textId="77777777" w:rsidR="004E6E97" w:rsidRPr="007F5CFC" w:rsidRDefault="004E6E97" w:rsidP="004E6E97">
      <w:pPr>
        <w:numPr>
          <w:ilvl w:val="0"/>
          <w:numId w:val="6"/>
        </w:numPr>
        <w:spacing w:before="100" w:beforeAutospacing="1" w:after="0" w:line="360" w:lineRule="auto"/>
        <w:jc w:val="both"/>
        <w:rPr>
          <w:rFonts w:ascii="Arial" w:hAnsi="Arial" w:cs="Arial"/>
          <w:bCs/>
          <w:i/>
          <w:szCs w:val="24"/>
          <w:lang w:val="en-GB"/>
        </w:rPr>
      </w:pPr>
      <w:r w:rsidRPr="007F5CFC">
        <w:rPr>
          <w:rFonts w:ascii="Arial" w:hAnsi="Arial" w:cs="Arial"/>
          <w:bCs/>
          <w:i/>
          <w:szCs w:val="24"/>
          <w:lang w:val="en-GB"/>
        </w:rPr>
        <w:t xml:space="preserve">”Extended Nordic collaboration regarding research for green growth, welfare and health”. </w:t>
      </w:r>
    </w:p>
    <w:p w14:paraId="0455025C" w14:textId="77777777" w:rsidR="004E6E97" w:rsidRPr="007F5CFC" w:rsidRDefault="004E6E97" w:rsidP="004E6E97">
      <w:pPr>
        <w:numPr>
          <w:ilvl w:val="0"/>
          <w:numId w:val="6"/>
        </w:numPr>
        <w:spacing w:before="100" w:beforeAutospacing="1" w:after="0" w:line="360" w:lineRule="auto"/>
        <w:jc w:val="both"/>
        <w:rPr>
          <w:rFonts w:ascii="Arial" w:hAnsi="Arial" w:cs="Arial"/>
          <w:bCs/>
          <w:i/>
          <w:szCs w:val="24"/>
          <w:lang w:val="en-GB"/>
        </w:rPr>
      </w:pPr>
      <w:r w:rsidRPr="007F5CFC">
        <w:rPr>
          <w:rFonts w:ascii="Arial" w:hAnsi="Arial" w:cs="Arial"/>
          <w:bCs/>
          <w:i/>
          <w:szCs w:val="24"/>
          <w:lang w:val="en-GB"/>
        </w:rPr>
        <w:t>”Quality and security in the social and health sectors will be strengthened.”</w:t>
      </w:r>
    </w:p>
    <w:p w14:paraId="0C1932D3" w14:textId="29368787" w:rsidR="00400AFB" w:rsidRDefault="004E6E97" w:rsidP="00400AFB">
      <w:pPr>
        <w:spacing w:before="360" w:after="0" w:line="360" w:lineRule="auto"/>
        <w:jc w:val="both"/>
        <w:rPr>
          <w:rFonts w:ascii="Arial" w:hAnsi="Arial" w:cs="Arial"/>
          <w:bCs/>
          <w:sz w:val="24"/>
          <w:szCs w:val="24"/>
          <w:lang w:val="en-GB"/>
        </w:rPr>
      </w:pPr>
      <w:r w:rsidRPr="00681DE7">
        <w:rPr>
          <w:rFonts w:ascii="Arial" w:hAnsi="Arial" w:cs="Arial"/>
          <w:bCs/>
          <w:sz w:val="24"/>
          <w:szCs w:val="24"/>
          <w:lang w:val="en-GB"/>
        </w:rPr>
        <w:t xml:space="preserve">The </w:t>
      </w:r>
      <w:r w:rsidR="00464205">
        <w:rPr>
          <w:rFonts w:ascii="Arial" w:hAnsi="Arial" w:cs="Arial"/>
          <w:bCs/>
          <w:sz w:val="24"/>
          <w:szCs w:val="24"/>
          <w:lang w:val="en-GB"/>
        </w:rPr>
        <w:t xml:space="preserve">Nordic sustainable development indicators listed </w:t>
      </w:r>
      <w:r w:rsidR="00156C87">
        <w:rPr>
          <w:rFonts w:ascii="Arial" w:hAnsi="Arial" w:cs="Arial"/>
          <w:bCs/>
          <w:sz w:val="24"/>
          <w:szCs w:val="24"/>
          <w:lang w:val="en-GB"/>
        </w:rPr>
        <w:t>in figure 1</w:t>
      </w:r>
      <w:r>
        <w:rPr>
          <w:rFonts w:ascii="Arial" w:hAnsi="Arial" w:cs="Arial"/>
          <w:bCs/>
          <w:sz w:val="24"/>
          <w:szCs w:val="24"/>
          <w:lang w:val="en-GB"/>
        </w:rPr>
        <w:t xml:space="preserve"> </w:t>
      </w:r>
      <w:r w:rsidR="005A09C0">
        <w:rPr>
          <w:rFonts w:ascii="Arial" w:hAnsi="Arial" w:cs="Arial"/>
          <w:bCs/>
          <w:sz w:val="24"/>
          <w:szCs w:val="24"/>
          <w:lang w:val="en-GB"/>
        </w:rPr>
        <w:t>are</w:t>
      </w:r>
      <w:r>
        <w:rPr>
          <w:rFonts w:ascii="Arial" w:hAnsi="Arial" w:cs="Arial"/>
          <w:bCs/>
          <w:sz w:val="24"/>
          <w:szCs w:val="24"/>
          <w:lang w:val="en-GB"/>
        </w:rPr>
        <w:t xml:space="preserve"> </w:t>
      </w:r>
      <w:r w:rsidRPr="00681DE7">
        <w:rPr>
          <w:rFonts w:ascii="Arial" w:hAnsi="Arial" w:cs="Arial"/>
          <w:bCs/>
          <w:sz w:val="24"/>
          <w:szCs w:val="24"/>
          <w:lang w:val="en-GB"/>
        </w:rPr>
        <w:t>not clearly connected to the goals</w:t>
      </w:r>
      <w:r>
        <w:rPr>
          <w:rFonts w:ascii="Arial" w:hAnsi="Arial" w:cs="Arial"/>
          <w:bCs/>
          <w:sz w:val="24"/>
          <w:szCs w:val="24"/>
          <w:lang w:val="en-GB"/>
        </w:rPr>
        <w:t xml:space="preserve"> in the strategy</w:t>
      </w:r>
      <w:r w:rsidR="00400AFB">
        <w:rPr>
          <w:rFonts w:ascii="Arial" w:hAnsi="Arial" w:cs="Arial"/>
          <w:bCs/>
          <w:sz w:val="24"/>
          <w:szCs w:val="24"/>
          <w:lang w:val="en-GB"/>
        </w:rPr>
        <w:t xml:space="preserve"> (</w:t>
      </w:r>
      <w:r w:rsidR="00400AFB" w:rsidRPr="00400AFB">
        <w:rPr>
          <w:rFonts w:ascii="Arial" w:hAnsi="Arial" w:cs="Arial"/>
          <w:bCs/>
          <w:sz w:val="24"/>
          <w:szCs w:val="24"/>
          <w:lang w:val="en-GB"/>
        </w:rPr>
        <w:t>www.nordicstatistics.org/nordic-sus</w:t>
      </w:r>
      <w:r w:rsidR="00400AFB">
        <w:rPr>
          <w:rFonts w:ascii="Arial" w:hAnsi="Arial" w:cs="Arial"/>
          <w:bCs/>
          <w:sz w:val="24"/>
          <w:szCs w:val="24"/>
          <w:lang w:val="en-GB"/>
        </w:rPr>
        <w:t>tainable-development-indicators)</w:t>
      </w:r>
      <w:r w:rsidRPr="00681DE7">
        <w:rPr>
          <w:rFonts w:ascii="Arial" w:hAnsi="Arial" w:cs="Arial"/>
          <w:bCs/>
          <w:sz w:val="24"/>
          <w:szCs w:val="24"/>
          <w:lang w:val="en-GB"/>
        </w:rPr>
        <w:t>. Hence, there is</w:t>
      </w:r>
      <w:r>
        <w:rPr>
          <w:rFonts w:ascii="Arial" w:hAnsi="Arial" w:cs="Arial"/>
          <w:bCs/>
          <w:sz w:val="24"/>
          <w:szCs w:val="24"/>
          <w:lang w:val="en-GB"/>
        </w:rPr>
        <w:t xml:space="preserve"> no clear</w:t>
      </w:r>
      <w:r w:rsidRPr="00681DE7">
        <w:rPr>
          <w:rFonts w:ascii="Arial" w:hAnsi="Arial" w:cs="Arial"/>
          <w:bCs/>
          <w:sz w:val="24"/>
          <w:szCs w:val="24"/>
          <w:lang w:val="en-GB"/>
        </w:rPr>
        <w:t xml:space="preserve"> link between the goals formulated in the strategy and the actual indicators used. </w:t>
      </w:r>
      <w:bookmarkStart w:id="3" w:name="_Hlk12527104"/>
      <w:bookmarkEnd w:id="1"/>
      <w:bookmarkEnd w:id="2"/>
    </w:p>
    <w:p w14:paraId="1BCE60EC" w14:textId="77777777" w:rsidR="00400AFB" w:rsidRPr="00681DE7" w:rsidRDefault="00400AFB" w:rsidP="00400AFB">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681DE7">
        <w:rPr>
          <w:rFonts w:ascii="Arial" w:hAnsi="Arial" w:cs="Arial"/>
          <w:i/>
          <w:sz w:val="24"/>
          <w:szCs w:val="24"/>
          <w:lang w:val="en-GB"/>
        </w:rPr>
        <w:t>.</w:t>
      </w:r>
      <w:r>
        <w:rPr>
          <w:rFonts w:ascii="Arial" w:hAnsi="Arial" w:cs="Arial"/>
          <w:i/>
          <w:sz w:val="24"/>
          <w:szCs w:val="24"/>
          <w:lang w:val="en-GB"/>
        </w:rPr>
        <w:t>3</w:t>
      </w:r>
      <w:r w:rsidRPr="00681DE7">
        <w:rPr>
          <w:rFonts w:ascii="Arial" w:hAnsi="Arial" w:cs="Arial"/>
          <w:i/>
          <w:sz w:val="24"/>
          <w:szCs w:val="24"/>
          <w:lang w:val="en-GB"/>
        </w:rPr>
        <w:t xml:space="preserve"> Criteria for good indicators </w:t>
      </w:r>
    </w:p>
    <w:p w14:paraId="57690238" w14:textId="4101E1D6" w:rsidR="00400AFB" w:rsidRPr="00681DE7" w:rsidRDefault="00400AFB" w:rsidP="00400AFB">
      <w:pPr>
        <w:spacing w:before="360" w:after="0" w:line="360" w:lineRule="auto"/>
        <w:jc w:val="both"/>
        <w:rPr>
          <w:rFonts w:ascii="Arial" w:hAnsi="Arial" w:cs="Arial"/>
          <w:sz w:val="24"/>
          <w:szCs w:val="24"/>
          <w:lang w:val="en-GB"/>
        </w:rPr>
      </w:pPr>
      <w:r>
        <w:rPr>
          <w:rFonts w:ascii="Arial" w:hAnsi="Arial" w:cs="Arial"/>
          <w:sz w:val="24"/>
          <w:szCs w:val="24"/>
          <w:lang w:val="en-GB"/>
        </w:rPr>
        <w:t xml:space="preserve">Another thing to consider in </w:t>
      </w:r>
      <w:r w:rsidR="003A00B1">
        <w:rPr>
          <w:rFonts w:ascii="Arial" w:hAnsi="Arial" w:cs="Arial"/>
          <w:sz w:val="24"/>
          <w:szCs w:val="24"/>
          <w:lang w:val="en-GB"/>
        </w:rPr>
        <w:t>relation to</w:t>
      </w:r>
      <w:r>
        <w:rPr>
          <w:rFonts w:ascii="Arial" w:hAnsi="Arial" w:cs="Arial"/>
          <w:sz w:val="24"/>
          <w:szCs w:val="24"/>
          <w:lang w:val="en-GB"/>
        </w:rPr>
        <w:t xml:space="preserve"> the revision </w:t>
      </w:r>
      <w:r w:rsidR="003A00B1">
        <w:rPr>
          <w:rFonts w:ascii="Arial" w:hAnsi="Arial" w:cs="Arial"/>
          <w:sz w:val="24"/>
          <w:szCs w:val="24"/>
          <w:lang w:val="en-GB"/>
        </w:rPr>
        <w:t>is</w:t>
      </w:r>
      <w:r w:rsidR="003A00B1">
        <w:rPr>
          <w:rFonts w:ascii="Arial" w:hAnsi="Arial" w:cs="Arial"/>
          <w:sz w:val="24"/>
          <w:szCs w:val="24"/>
          <w:lang w:val="en-GB"/>
        </w:rPr>
        <w:t xml:space="preserve"> </w:t>
      </w:r>
      <w:r>
        <w:rPr>
          <w:rFonts w:ascii="Arial" w:hAnsi="Arial" w:cs="Arial"/>
          <w:sz w:val="24"/>
          <w:szCs w:val="24"/>
          <w:lang w:val="en-GB"/>
        </w:rPr>
        <w:t xml:space="preserve">the quality and applicability of the indicators. </w:t>
      </w:r>
      <w:r w:rsidRPr="00681DE7">
        <w:rPr>
          <w:rFonts w:ascii="Arial" w:hAnsi="Arial" w:cs="Arial"/>
          <w:sz w:val="24"/>
          <w:szCs w:val="24"/>
          <w:lang w:val="en-GB"/>
        </w:rPr>
        <w:t>There is a vast literature on how to develop and chose indicators, see e.g. EAA (2014), Brown (2009), Niemeijer and de Groot (2008), Penchenon (2008).</w:t>
      </w:r>
      <w:r>
        <w:rPr>
          <w:rFonts w:ascii="Arial" w:hAnsi="Arial" w:cs="Arial"/>
          <w:sz w:val="24"/>
          <w:szCs w:val="24"/>
          <w:lang w:val="en-GB"/>
        </w:rPr>
        <w:t xml:space="preserve"> </w:t>
      </w:r>
      <w:r w:rsidRPr="00681DE7">
        <w:rPr>
          <w:rFonts w:ascii="Arial" w:hAnsi="Arial" w:cs="Arial"/>
          <w:sz w:val="24"/>
          <w:szCs w:val="24"/>
          <w:lang w:val="en-GB"/>
        </w:rPr>
        <w:t xml:space="preserve">In the international comparison of countries with respect to Agenda 2030 the following </w:t>
      </w:r>
      <w:r w:rsidR="003A00B1" w:rsidRPr="00681DE7">
        <w:rPr>
          <w:rFonts w:ascii="Arial" w:hAnsi="Arial" w:cs="Arial"/>
          <w:sz w:val="24"/>
          <w:szCs w:val="24"/>
          <w:lang w:val="en-GB"/>
        </w:rPr>
        <w:t>criteri</w:t>
      </w:r>
      <w:r w:rsidR="003A00B1">
        <w:rPr>
          <w:rFonts w:ascii="Arial" w:hAnsi="Arial" w:cs="Arial"/>
          <w:sz w:val="24"/>
          <w:szCs w:val="24"/>
          <w:lang w:val="en-GB"/>
        </w:rPr>
        <w:t>a</w:t>
      </w:r>
      <w:r w:rsidR="003A00B1" w:rsidRPr="00681DE7">
        <w:rPr>
          <w:rFonts w:ascii="Arial" w:hAnsi="Arial" w:cs="Arial"/>
          <w:sz w:val="24"/>
          <w:szCs w:val="24"/>
          <w:lang w:val="en-GB"/>
        </w:rPr>
        <w:t xml:space="preserve"> </w:t>
      </w:r>
      <w:r w:rsidRPr="00681DE7">
        <w:rPr>
          <w:rFonts w:ascii="Arial" w:hAnsi="Arial" w:cs="Arial"/>
          <w:sz w:val="24"/>
          <w:szCs w:val="24"/>
          <w:lang w:val="en-GB"/>
        </w:rPr>
        <w:t>are used in Bertelmann Stiftung (2018):</w:t>
      </w:r>
    </w:p>
    <w:p w14:paraId="7286F8EE" w14:textId="77777777" w:rsidR="00400AFB" w:rsidRPr="00681DE7" w:rsidRDefault="00400AFB" w:rsidP="00400AFB">
      <w:pPr>
        <w:autoSpaceDE w:val="0"/>
        <w:autoSpaceDN w:val="0"/>
        <w:adjustRightInd w:val="0"/>
        <w:spacing w:after="0" w:line="240" w:lineRule="auto"/>
        <w:rPr>
          <w:rFonts w:ascii="Arial" w:hAnsi="Arial" w:cs="Arial"/>
          <w:sz w:val="24"/>
          <w:szCs w:val="24"/>
          <w:lang w:val="en-GB"/>
        </w:rPr>
      </w:pPr>
    </w:p>
    <w:p w14:paraId="3F08B374" w14:textId="77777777" w:rsidR="00400AFB" w:rsidRPr="00681DE7" w:rsidRDefault="00400AFB" w:rsidP="00400AFB">
      <w:pPr>
        <w:pStyle w:val="Listeafsnit"/>
        <w:numPr>
          <w:ilvl w:val="0"/>
          <w:numId w:val="16"/>
        </w:numPr>
        <w:autoSpaceDE w:val="0"/>
        <w:autoSpaceDN w:val="0"/>
        <w:adjustRightInd w:val="0"/>
        <w:spacing w:after="0" w:line="240" w:lineRule="auto"/>
        <w:rPr>
          <w:rFonts w:ascii="Arial" w:hAnsi="Arial" w:cs="Arial"/>
          <w:sz w:val="24"/>
          <w:szCs w:val="24"/>
          <w:lang w:val="en-GB"/>
        </w:rPr>
      </w:pPr>
      <w:r w:rsidRPr="00681DE7">
        <w:rPr>
          <w:rFonts w:ascii="Arial" w:hAnsi="Arial" w:cs="Arial"/>
          <w:sz w:val="24"/>
          <w:szCs w:val="24"/>
          <w:lang w:val="en-GB"/>
        </w:rPr>
        <w:t xml:space="preserve">Global relevance </w:t>
      </w:r>
    </w:p>
    <w:p w14:paraId="4BD93FAF" w14:textId="77777777" w:rsidR="00400AFB" w:rsidRPr="00681DE7" w:rsidRDefault="00400AFB" w:rsidP="00400AFB">
      <w:pPr>
        <w:pStyle w:val="Listeafsnit"/>
        <w:numPr>
          <w:ilvl w:val="0"/>
          <w:numId w:val="16"/>
        </w:numPr>
        <w:autoSpaceDE w:val="0"/>
        <w:autoSpaceDN w:val="0"/>
        <w:adjustRightInd w:val="0"/>
        <w:spacing w:after="0" w:line="240" w:lineRule="auto"/>
        <w:rPr>
          <w:rFonts w:ascii="Arial" w:hAnsi="Arial" w:cs="Arial"/>
          <w:sz w:val="24"/>
          <w:szCs w:val="24"/>
          <w:lang w:val="en-GB"/>
        </w:rPr>
      </w:pPr>
      <w:r w:rsidRPr="00681DE7">
        <w:rPr>
          <w:rFonts w:ascii="Arial" w:hAnsi="Arial" w:cs="Arial"/>
          <w:sz w:val="24"/>
          <w:szCs w:val="24"/>
          <w:lang w:val="en-GB"/>
        </w:rPr>
        <w:t>Statistical adequacy</w:t>
      </w:r>
    </w:p>
    <w:p w14:paraId="686CEE8B" w14:textId="77777777" w:rsidR="00400AFB" w:rsidRPr="00681DE7" w:rsidRDefault="00400AFB" w:rsidP="00400AFB">
      <w:pPr>
        <w:pStyle w:val="Listeafsnit"/>
        <w:numPr>
          <w:ilvl w:val="0"/>
          <w:numId w:val="16"/>
        </w:numPr>
        <w:autoSpaceDE w:val="0"/>
        <w:autoSpaceDN w:val="0"/>
        <w:adjustRightInd w:val="0"/>
        <w:spacing w:after="0" w:line="240" w:lineRule="auto"/>
        <w:rPr>
          <w:rFonts w:ascii="Arial" w:hAnsi="Arial" w:cs="Arial"/>
          <w:sz w:val="24"/>
          <w:szCs w:val="24"/>
          <w:lang w:val="en-GB"/>
        </w:rPr>
      </w:pPr>
      <w:r w:rsidRPr="00681DE7">
        <w:rPr>
          <w:rFonts w:ascii="Arial" w:hAnsi="Arial" w:cs="Arial"/>
          <w:sz w:val="24"/>
          <w:szCs w:val="24"/>
          <w:lang w:val="en-GB"/>
        </w:rPr>
        <w:t>Timeliness</w:t>
      </w:r>
    </w:p>
    <w:p w14:paraId="36083FC3" w14:textId="77777777" w:rsidR="00400AFB" w:rsidRPr="00681DE7" w:rsidRDefault="00400AFB" w:rsidP="00400AFB">
      <w:pPr>
        <w:pStyle w:val="Listeafsnit"/>
        <w:numPr>
          <w:ilvl w:val="0"/>
          <w:numId w:val="16"/>
        </w:numPr>
        <w:autoSpaceDE w:val="0"/>
        <w:autoSpaceDN w:val="0"/>
        <w:adjustRightInd w:val="0"/>
        <w:spacing w:after="0" w:line="240" w:lineRule="auto"/>
        <w:rPr>
          <w:rFonts w:ascii="Arial" w:hAnsi="Arial" w:cs="Arial"/>
          <w:sz w:val="24"/>
          <w:szCs w:val="24"/>
          <w:lang w:val="en-GB"/>
        </w:rPr>
      </w:pPr>
      <w:r w:rsidRPr="00681DE7">
        <w:rPr>
          <w:rFonts w:ascii="Arial" w:hAnsi="Arial" w:cs="Arial"/>
          <w:sz w:val="24"/>
          <w:szCs w:val="24"/>
          <w:lang w:val="en-GB"/>
        </w:rPr>
        <w:t xml:space="preserve">Data quality </w:t>
      </w:r>
    </w:p>
    <w:p w14:paraId="7582D994" w14:textId="77777777" w:rsidR="00400AFB" w:rsidRPr="00681DE7" w:rsidRDefault="00400AFB" w:rsidP="00400AFB">
      <w:pPr>
        <w:pStyle w:val="Listeafsnit"/>
        <w:numPr>
          <w:ilvl w:val="0"/>
          <w:numId w:val="16"/>
        </w:numPr>
        <w:autoSpaceDE w:val="0"/>
        <w:autoSpaceDN w:val="0"/>
        <w:adjustRightInd w:val="0"/>
        <w:spacing w:after="0" w:line="240" w:lineRule="auto"/>
        <w:rPr>
          <w:rFonts w:ascii="Arial" w:hAnsi="Arial" w:cs="Arial"/>
          <w:sz w:val="24"/>
          <w:szCs w:val="24"/>
          <w:lang w:val="en-GB"/>
        </w:rPr>
      </w:pPr>
      <w:r w:rsidRPr="00681DE7">
        <w:rPr>
          <w:rFonts w:ascii="Arial" w:hAnsi="Arial" w:cs="Arial"/>
          <w:sz w:val="24"/>
          <w:szCs w:val="24"/>
          <w:lang w:val="en-GB"/>
        </w:rPr>
        <w:t>Coverage</w:t>
      </w:r>
    </w:p>
    <w:p w14:paraId="37E1F661" w14:textId="77777777" w:rsidR="00400AFB" w:rsidRDefault="00400AFB" w:rsidP="00400AFB">
      <w:pPr>
        <w:rPr>
          <w:rFonts w:ascii="Arial" w:hAnsi="Arial" w:cs="Arial"/>
          <w:i/>
          <w:sz w:val="24"/>
          <w:szCs w:val="24"/>
          <w:lang w:val="en-GB"/>
        </w:rPr>
      </w:pPr>
    </w:p>
    <w:p w14:paraId="66127147" w14:textId="2C49A6F6" w:rsidR="00400AFB" w:rsidRPr="00681DE7" w:rsidRDefault="00400AFB" w:rsidP="00400AFB">
      <w:pPr>
        <w:spacing w:before="360" w:after="0" w:line="360" w:lineRule="auto"/>
        <w:jc w:val="both"/>
        <w:rPr>
          <w:rFonts w:ascii="Arial" w:hAnsi="Arial" w:cs="Arial"/>
          <w:sz w:val="24"/>
          <w:szCs w:val="24"/>
          <w:lang w:val="en-GB"/>
        </w:rPr>
      </w:pPr>
      <w:r>
        <w:rPr>
          <w:rFonts w:ascii="Arial" w:hAnsi="Arial" w:cs="Arial"/>
          <w:sz w:val="24"/>
          <w:szCs w:val="24"/>
          <w:lang w:val="en-GB"/>
        </w:rPr>
        <w:t>Indicators should in general have a desired direction or a specific target. Therefor</w:t>
      </w:r>
      <w:r w:rsidR="003A00B1">
        <w:rPr>
          <w:rFonts w:ascii="Arial" w:hAnsi="Arial" w:cs="Arial"/>
          <w:sz w:val="24"/>
          <w:szCs w:val="24"/>
          <w:lang w:val="en-GB"/>
        </w:rPr>
        <w:t>e</w:t>
      </w:r>
      <w:r>
        <w:rPr>
          <w:rFonts w:ascii="Arial" w:hAnsi="Arial" w:cs="Arial"/>
          <w:sz w:val="24"/>
          <w:szCs w:val="24"/>
          <w:lang w:val="en-GB"/>
        </w:rPr>
        <w:t xml:space="preserve"> the decision to use a specific set of indicators is in a sense a political statement, which is also the case with the sustainable development indicators which are approved by the ministers of cooperation. The determination which indicators to use in the Agenda 2030 was </w:t>
      </w:r>
      <w:r w:rsidR="004D46E1">
        <w:rPr>
          <w:rFonts w:ascii="Arial" w:hAnsi="Arial" w:cs="Arial"/>
          <w:sz w:val="24"/>
          <w:szCs w:val="24"/>
          <w:lang w:val="en-GB"/>
        </w:rPr>
        <w:t xml:space="preserve">also </w:t>
      </w:r>
      <w:r>
        <w:rPr>
          <w:rFonts w:ascii="Arial" w:hAnsi="Arial" w:cs="Arial"/>
          <w:sz w:val="24"/>
          <w:szCs w:val="24"/>
          <w:lang w:val="en-GB"/>
        </w:rPr>
        <w:t>a result of a long and difficult process.</w:t>
      </w:r>
      <w:r w:rsidR="004D46E1">
        <w:rPr>
          <w:rFonts w:ascii="Arial" w:hAnsi="Arial" w:cs="Arial"/>
          <w:sz w:val="24"/>
          <w:szCs w:val="24"/>
          <w:lang w:val="en-GB"/>
        </w:rPr>
        <w:t xml:space="preserve"> </w:t>
      </w:r>
      <w:r>
        <w:rPr>
          <w:rFonts w:ascii="Arial" w:hAnsi="Arial" w:cs="Arial"/>
          <w:sz w:val="24"/>
          <w:szCs w:val="24"/>
          <w:lang w:val="en-GB"/>
        </w:rPr>
        <w:t xml:space="preserve">A possible way to avoid this challenge would be for the Nordic Council of Ministers to just publish </w:t>
      </w:r>
      <w:r w:rsidRPr="00C04F44">
        <w:rPr>
          <w:rFonts w:ascii="Arial" w:hAnsi="Arial" w:cs="Arial"/>
          <w:i/>
          <w:sz w:val="24"/>
          <w:szCs w:val="24"/>
          <w:lang w:val="en-GB"/>
        </w:rPr>
        <w:t>statistics related to sustainable development</w:t>
      </w:r>
      <w:r>
        <w:rPr>
          <w:rFonts w:ascii="Arial" w:hAnsi="Arial" w:cs="Arial"/>
          <w:sz w:val="24"/>
          <w:szCs w:val="24"/>
          <w:lang w:val="en-GB"/>
        </w:rPr>
        <w:t xml:space="preserve"> without </w:t>
      </w:r>
      <w:r w:rsidR="004D46E1">
        <w:rPr>
          <w:rFonts w:ascii="Arial" w:hAnsi="Arial" w:cs="Arial"/>
          <w:sz w:val="24"/>
          <w:szCs w:val="24"/>
          <w:lang w:val="en-GB"/>
        </w:rPr>
        <w:t>labelling</w:t>
      </w:r>
      <w:r>
        <w:rPr>
          <w:rFonts w:ascii="Arial" w:hAnsi="Arial" w:cs="Arial"/>
          <w:sz w:val="24"/>
          <w:szCs w:val="24"/>
          <w:lang w:val="en-GB"/>
        </w:rPr>
        <w:t xml:space="preserve"> the presented data </w:t>
      </w:r>
      <w:r w:rsidR="004D46E1">
        <w:rPr>
          <w:rFonts w:ascii="Arial" w:hAnsi="Arial" w:cs="Arial"/>
          <w:sz w:val="24"/>
          <w:szCs w:val="24"/>
          <w:lang w:val="en-GB"/>
        </w:rPr>
        <w:t>as indicators</w:t>
      </w:r>
      <w:r>
        <w:rPr>
          <w:rFonts w:ascii="Arial" w:hAnsi="Arial" w:cs="Arial"/>
          <w:sz w:val="24"/>
          <w:szCs w:val="24"/>
          <w:lang w:val="en-GB"/>
        </w:rPr>
        <w:t xml:space="preserve">. </w:t>
      </w:r>
    </w:p>
    <w:p w14:paraId="49DEFBBE" w14:textId="77777777" w:rsidR="00400AFB" w:rsidRDefault="00400AFB" w:rsidP="00400AFB">
      <w:pPr>
        <w:pStyle w:val="Billedtekst"/>
        <w:keepNext/>
        <w:rPr>
          <w:rFonts w:ascii="Arial" w:hAnsi="Arial" w:cs="Arial"/>
          <w:bCs/>
          <w:iCs w:val="0"/>
          <w:color w:val="auto"/>
          <w:sz w:val="20"/>
          <w:szCs w:val="20"/>
          <w:lang w:val="en-GB"/>
        </w:rPr>
      </w:pPr>
    </w:p>
    <w:p w14:paraId="330A018C" w14:textId="5D8B739B" w:rsidR="00400AFB" w:rsidRDefault="00400AFB" w:rsidP="00400AFB">
      <w:pPr>
        <w:pStyle w:val="Billedtekst"/>
        <w:keepNext/>
        <w:rPr>
          <w:sz w:val="28"/>
        </w:rPr>
      </w:pPr>
      <w:r>
        <w:rPr>
          <w:rFonts w:ascii="Arial" w:hAnsi="Arial" w:cs="Arial"/>
          <w:bCs/>
          <w:iCs w:val="0"/>
          <w:color w:val="auto"/>
          <w:sz w:val="20"/>
          <w:szCs w:val="20"/>
          <w:lang w:val="en-GB"/>
        </w:rPr>
        <w:t>Figure</w:t>
      </w:r>
      <w:r w:rsidRPr="00681DE7">
        <w:rPr>
          <w:rFonts w:ascii="Arial" w:hAnsi="Arial" w:cs="Arial"/>
          <w:bCs/>
          <w:iCs w:val="0"/>
          <w:color w:val="auto"/>
          <w:sz w:val="20"/>
          <w:szCs w:val="20"/>
          <w:lang w:val="en-GB"/>
        </w:rPr>
        <w:t xml:space="preserve"> </w:t>
      </w:r>
      <w:r w:rsidRPr="00681DE7">
        <w:rPr>
          <w:rFonts w:ascii="Arial" w:hAnsi="Arial" w:cs="Arial"/>
          <w:bCs/>
          <w:iCs w:val="0"/>
          <w:color w:val="auto"/>
          <w:sz w:val="20"/>
          <w:szCs w:val="20"/>
          <w:lang w:val="en-GB"/>
        </w:rPr>
        <w:fldChar w:fldCharType="begin"/>
      </w:r>
      <w:r w:rsidRPr="00681DE7">
        <w:rPr>
          <w:rFonts w:ascii="Arial" w:hAnsi="Arial" w:cs="Arial"/>
          <w:bCs/>
          <w:iCs w:val="0"/>
          <w:color w:val="auto"/>
          <w:sz w:val="20"/>
          <w:szCs w:val="20"/>
          <w:lang w:val="en-GB"/>
        </w:rPr>
        <w:instrText xml:space="preserve"> SEQ Tabell \* ARABIC </w:instrText>
      </w:r>
      <w:r w:rsidRPr="00681DE7">
        <w:rPr>
          <w:rFonts w:ascii="Arial" w:hAnsi="Arial" w:cs="Arial"/>
          <w:bCs/>
          <w:iCs w:val="0"/>
          <w:color w:val="auto"/>
          <w:sz w:val="20"/>
          <w:szCs w:val="20"/>
          <w:lang w:val="en-GB"/>
        </w:rPr>
        <w:fldChar w:fldCharType="separate"/>
      </w:r>
      <w:r>
        <w:rPr>
          <w:rFonts w:ascii="Arial" w:hAnsi="Arial" w:cs="Arial"/>
          <w:bCs/>
          <w:iCs w:val="0"/>
          <w:noProof/>
          <w:color w:val="auto"/>
          <w:sz w:val="20"/>
          <w:szCs w:val="20"/>
          <w:lang w:val="en-GB"/>
        </w:rPr>
        <w:t>1</w:t>
      </w:r>
      <w:r w:rsidRPr="00681DE7">
        <w:rPr>
          <w:rFonts w:ascii="Arial" w:hAnsi="Arial" w:cs="Arial"/>
          <w:bCs/>
          <w:iCs w:val="0"/>
          <w:color w:val="auto"/>
          <w:sz w:val="20"/>
          <w:szCs w:val="20"/>
          <w:lang w:val="en-GB"/>
        </w:rPr>
        <w:fldChar w:fldCharType="end"/>
      </w:r>
      <w:r w:rsidRPr="00681DE7">
        <w:rPr>
          <w:rFonts w:ascii="Arial" w:hAnsi="Arial" w:cs="Arial"/>
          <w:bCs/>
          <w:iCs w:val="0"/>
          <w:color w:val="auto"/>
          <w:sz w:val="20"/>
          <w:szCs w:val="20"/>
          <w:lang w:val="en-GB"/>
        </w:rPr>
        <w:t xml:space="preserve">, The Nordic </w:t>
      </w:r>
      <w:r>
        <w:rPr>
          <w:rFonts w:ascii="Arial" w:hAnsi="Arial" w:cs="Arial"/>
          <w:bCs/>
          <w:iCs w:val="0"/>
          <w:color w:val="auto"/>
          <w:sz w:val="20"/>
          <w:szCs w:val="20"/>
          <w:lang w:val="en-GB"/>
        </w:rPr>
        <w:t>indicators</w:t>
      </w:r>
      <w:r w:rsidRPr="00681DE7">
        <w:rPr>
          <w:rFonts w:ascii="Arial" w:hAnsi="Arial" w:cs="Arial"/>
          <w:bCs/>
          <w:iCs w:val="0"/>
          <w:color w:val="auto"/>
          <w:sz w:val="20"/>
          <w:szCs w:val="20"/>
          <w:lang w:val="en-GB"/>
        </w:rPr>
        <w:t xml:space="preserve"> for sustainable development</w:t>
      </w:r>
      <w:r>
        <w:rPr>
          <w:rFonts w:ascii="Arial" w:hAnsi="Arial" w:cs="Arial"/>
          <w:bCs/>
          <w:iCs w:val="0"/>
          <w:color w:val="auto"/>
          <w:sz w:val="20"/>
          <w:szCs w:val="20"/>
          <w:lang w:val="en-GB"/>
        </w:rPr>
        <w:t xml:space="preserve"> - </w:t>
      </w:r>
      <w:r w:rsidRPr="00681DE7">
        <w:rPr>
          <w:rFonts w:ascii="Arial" w:hAnsi="Arial" w:cs="Arial"/>
          <w:bCs/>
          <w:iCs w:val="0"/>
          <w:color w:val="auto"/>
          <w:sz w:val="20"/>
          <w:szCs w:val="20"/>
          <w:lang w:val="en-GB"/>
        </w:rPr>
        <w:t>focus areas and main indicators</w:t>
      </w:r>
    </w:p>
    <w:p w14:paraId="21EA1AEC" w14:textId="77777777" w:rsidR="00400AFB" w:rsidRPr="000662CD" w:rsidRDefault="00400AFB" w:rsidP="00400AFB">
      <w:pPr>
        <w:pStyle w:val="Billedtekst"/>
        <w:keepNext/>
        <w:pBdr>
          <w:top w:val="single" w:sz="4" w:space="1" w:color="auto"/>
        </w:pBdr>
        <w:rPr>
          <w:b/>
          <w:i w:val="0"/>
          <w:sz w:val="28"/>
        </w:rPr>
      </w:pPr>
      <w:r w:rsidRPr="000662CD">
        <w:rPr>
          <w:b/>
          <w:i w:val="0"/>
          <w:sz w:val="28"/>
        </w:rPr>
        <w:t xml:space="preserve">The Nordic welfare model </w:t>
      </w:r>
    </w:p>
    <w:p w14:paraId="2D179904"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Demographic trends </w:t>
      </w:r>
    </w:p>
    <w:p w14:paraId="7D55FAA7"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Gross Domestic Product (GDP) </w:t>
      </w:r>
    </w:p>
    <w:p w14:paraId="667DCE74"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Public debt </w:t>
      </w:r>
    </w:p>
    <w:p w14:paraId="036626AA"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Urbanization </w:t>
      </w:r>
    </w:p>
    <w:p w14:paraId="00E5F82A"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Employment and unemployment rate </w:t>
      </w:r>
    </w:p>
    <w:p w14:paraId="116E23C6"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Life expectancy at birth </w:t>
      </w:r>
    </w:p>
    <w:p w14:paraId="495F2578"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Gini-coefficient </w:t>
      </w:r>
    </w:p>
    <w:p w14:paraId="622D36F5"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Risk of poverty amongst families with children </w:t>
      </w:r>
    </w:p>
    <w:p w14:paraId="7BA24CBC"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Gender pay gap</w:t>
      </w:r>
    </w:p>
    <w:p w14:paraId="1C66D28B" w14:textId="77777777" w:rsidR="00400AFB" w:rsidRPr="0037453E" w:rsidRDefault="00400AFB" w:rsidP="00400AFB">
      <w:pPr>
        <w:tabs>
          <w:tab w:val="left" w:pos="284"/>
        </w:tabs>
        <w:spacing w:after="0"/>
        <w:rPr>
          <w:lang w:val="en-US"/>
        </w:rPr>
      </w:pPr>
    </w:p>
    <w:p w14:paraId="2FA7D6EB" w14:textId="77777777" w:rsidR="00400AFB" w:rsidRPr="000662CD" w:rsidRDefault="00400AFB" w:rsidP="00400AFB">
      <w:pPr>
        <w:pStyle w:val="Billedtekst"/>
        <w:keepNext/>
        <w:pBdr>
          <w:top w:val="single" w:sz="4" w:space="1" w:color="auto"/>
        </w:pBdr>
        <w:rPr>
          <w:b/>
          <w:i w:val="0"/>
          <w:sz w:val="28"/>
        </w:rPr>
      </w:pPr>
      <w:r w:rsidRPr="000662CD">
        <w:rPr>
          <w:b/>
          <w:i w:val="0"/>
          <w:sz w:val="28"/>
        </w:rPr>
        <w:t>Viable ecosystems</w:t>
      </w:r>
    </w:p>
    <w:p w14:paraId="54ECC698"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Sustainability of fish stocks</w:t>
      </w:r>
    </w:p>
    <w:p w14:paraId="1A8B8B2A"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Discharge of nitrogen and phosphorus into the Baltic Sea</w:t>
      </w:r>
    </w:p>
    <w:p w14:paraId="76668AD8"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Change in the common bird index</w:t>
      </w:r>
    </w:p>
    <w:p w14:paraId="56E97056"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Developments in annual fellings and increments in forests</w:t>
      </w:r>
    </w:p>
    <w:p w14:paraId="5487746C"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Urban population exposure to air pollution by ozone and particulates</w:t>
      </w:r>
    </w:p>
    <w:p w14:paraId="6B8A43A0" w14:textId="77777777" w:rsidR="00400AFB" w:rsidRPr="00496953" w:rsidRDefault="00400AFB" w:rsidP="00400AFB">
      <w:pPr>
        <w:tabs>
          <w:tab w:val="left" w:pos="284"/>
        </w:tabs>
        <w:spacing w:after="0"/>
        <w:rPr>
          <w:lang w:val="en-US"/>
        </w:rPr>
      </w:pPr>
    </w:p>
    <w:p w14:paraId="32513CA6" w14:textId="77777777" w:rsidR="00400AFB" w:rsidRPr="000662CD" w:rsidRDefault="00400AFB" w:rsidP="00400AFB">
      <w:pPr>
        <w:pStyle w:val="Billedtekst"/>
        <w:keepNext/>
        <w:pBdr>
          <w:top w:val="single" w:sz="4" w:space="1" w:color="auto"/>
        </w:pBdr>
        <w:rPr>
          <w:b/>
          <w:i w:val="0"/>
          <w:sz w:val="28"/>
        </w:rPr>
      </w:pPr>
      <w:r w:rsidRPr="000662CD">
        <w:rPr>
          <w:b/>
          <w:i w:val="0"/>
          <w:sz w:val="28"/>
        </w:rPr>
        <w:t>Changing climate</w:t>
      </w:r>
    </w:p>
    <w:p w14:paraId="719078F4"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 xml:space="preserve">Share of renewable energy in gross energy supply </w:t>
      </w:r>
    </w:p>
    <w:p w14:paraId="4E7D21E0"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Developments in greenhouse gas emissions by sector</w:t>
      </w:r>
    </w:p>
    <w:p w14:paraId="31896452"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Emissions and land use, land use change and forestry</w:t>
      </w:r>
    </w:p>
    <w:p w14:paraId="7EDA5E60" w14:textId="77777777" w:rsidR="00400AFB" w:rsidRPr="00464205" w:rsidRDefault="00400AFB" w:rsidP="00400AFB">
      <w:pPr>
        <w:tabs>
          <w:tab w:val="left" w:pos="284"/>
        </w:tabs>
        <w:spacing w:after="0"/>
        <w:rPr>
          <w:sz w:val="24"/>
          <w:lang w:val="en-US"/>
        </w:rPr>
      </w:pPr>
    </w:p>
    <w:p w14:paraId="1A6378BF" w14:textId="77777777" w:rsidR="00400AFB" w:rsidRPr="000662CD" w:rsidRDefault="00400AFB" w:rsidP="00400AFB">
      <w:pPr>
        <w:pStyle w:val="Billedtekst"/>
        <w:keepNext/>
        <w:pBdr>
          <w:top w:val="single" w:sz="4" w:space="1" w:color="auto"/>
        </w:pBdr>
        <w:rPr>
          <w:b/>
          <w:i w:val="0"/>
          <w:sz w:val="28"/>
        </w:rPr>
      </w:pPr>
      <w:r w:rsidRPr="000662CD">
        <w:rPr>
          <w:b/>
          <w:i w:val="0"/>
          <w:sz w:val="28"/>
        </w:rPr>
        <w:t>Sustainable use of earth’s resources</w:t>
      </w:r>
    </w:p>
    <w:p w14:paraId="751BF234"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Decoupling of environmental pressures and economic growth</w:t>
      </w:r>
    </w:p>
    <w:p w14:paraId="4C27A548"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Nordic Ecolabel and the EU Ecolabel</w:t>
      </w:r>
    </w:p>
    <w:p w14:paraId="27FCA6AE"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Proportion of environmental taxes in total tax revenues</w:t>
      </w:r>
    </w:p>
    <w:p w14:paraId="22932DCA"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Development in municipal waste management by treatment method</w:t>
      </w:r>
    </w:p>
    <w:p w14:paraId="03506A4A"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Education, research and innovation</w:t>
      </w:r>
    </w:p>
    <w:p w14:paraId="3F0A4C6F"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Educational attainment Research and development expenditure as a percentage of GDP</w:t>
      </w:r>
    </w:p>
    <w:p w14:paraId="092316F8" w14:textId="77777777" w:rsidR="00400AFB" w:rsidRPr="00276B79" w:rsidRDefault="00400AFB" w:rsidP="00400AFB">
      <w:pPr>
        <w:tabs>
          <w:tab w:val="left" w:pos="284"/>
        </w:tabs>
        <w:spacing w:after="0"/>
        <w:rPr>
          <w:lang w:val="en-US"/>
        </w:rPr>
      </w:pPr>
    </w:p>
    <w:p w14:paraId="2234EE01" w14:textId="77777777" w:rsidR="00400AFB" w:rsidRPr="000662CD" w:rsidRDefault="00400AFB" w:rsidP="00400AFB">
      <w:pPr>
        <w:pStyle w:val="Billedtekst"/>
        <w:keepNext/>
        <w:pBdr>
          <w:top w:val="single" w:sz="4" w:space="1" w:color="auto"/>
        </w:pBdr>
        <w:rPr>
          <w:b/>
          <w:i w:val="0"/>
          <w:sz w:val="28"/>
        </w:rPr>
      </w:pPr>
      <w:r w:rsidRPr="000662CD">
        <w:rPr>
          <w:b/>
          <w:i w:val="0"/>
          <w:sz w:val="28"/>
        </w:rPr>
        <w:t>Education, research and innovation</w:t>
      </w:r>
    </w:p>
    <w:p w14:paraId="639B61E5"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Educational attainment</w:t>
      </w:r>
    </w:p>
    <w:p w14:paraId="5B077D9C" w14:textId="77777777" w:rsidR="00400AFB" w:rsidRPr="00464205" w:rsidRDefault="00400AFB" w:rsidP="00400AFB">
      <w:pPr>
        <w:numPr>
          <w:ilvl w:val="0"/>
          <w:numId w:val="20"/>
        </w:numPr>
        <w:tabs>
          <w:tab w:val="left" w:pos="284"/>
        </w:tabs>
        <w:spacing w:after="0"/>
        <w:rPr>
          <w:sz w:val="24"/>
          <w:lang w:val="en-US"/>
        </w:rPr>
      </w:pPr>
      <w:r w:rsidRPr="00464205">
        <w:rPr>
          <w:sz w:val="24"/>
          <w:lang w:val="en-US"/>
        </w:rPr>
        <w:t>Research and development expenditure as a percentage of GDP</w:t>
      </w:r>
    </w:p>
    <w:p w14:paraId="496AA755" w14:textId="77777777" w:rsidR="00400AFB" w:rsidRPr="0037519B" w:rsidRDefault="00400AFB" w:rsidP="00400AFB">
      <w:pPr>
        <w:tabs>
          <w:tab w:val="left" w:pos="284"/>
        </w:tabs>
        <w:spacing w:after="0"/>
        <w:rPr>
          <w:lang w:val="en-US"/>
        </w:rPr>
      </w:pPr>
    </w:p>
    <w:p w14:paraId="658DDC6A" w14:textId="30251BB1" w:rsidR="00400AFB" w:rsidRDefault="00400AFB">
      <w:pPr>
        <w:rPr>
          <w:rFonts w:ascii="Arial" w:hAnsi="Arial" w:cs="Arial"/>
          <w:i/>
          <w:sz w:val="24"/>
          <w:szCs w:val="24"/>
          <w:lang w:val="en-GB"/>
        </w:rPr>
      </w:pPr>
    </w:p>
    <w:bookmarkEnd w:id="3"/>
    <w:p w14:paraId="43586BCA" w14:textId="5D9472B6" w:rsidR="000969A4" w:rsidRPr="00681DE7" w:rsidRDefault="00C8694F" w:rsidP="006B1F86">
      <w:pPr>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2</w:t>
      </w:r>
      <w:r w:rsidR="00333FE9" w:rsidRPr="00681DE7">
        <w:rPr>
          <w:rFonts w:ascii="Arial" w:hAnsi="Arial" w:cs="Arial"/>
          <w:i/>
          <w:sz w:val="24"/>
          <w:szCs w:val="24"/>
          <w:lang w:val="en-GB"/>
        </w:rPr>
        <w:t>.</w:t>
      </w:r>
      <w:r>
        <w:rPr>
          <w:rFonts w:ascii="Arial" w:hAnsi="Arial" w:cs="Arial"/>
          <w:i/>
          <w:sz w:val="24"/>
          <w:szCs w:val="24"/>
          <w:lang w:val="en-GB"/>
        </w:rPr>
        <w:t>2</w:t>
      </w:r>
      <w:r w:rsidR="00333FE9" w:rsidRPr="00681DE7">
        <w:rPr>
          <w:rFonts w:ascii="Arial" w:hAnsi="Arial" w:cs="Arial"/>
          <w:i/>
          <w:sz w:val="24"/>
          <w:szCs w:val="24"/>
          <w:lang w:val="en-GB"/>
        </w:rPr>
        <w:t xml:space="preserve"> </w:t>
      </w:r>
      <w:r w:rsidR="000969A4" w:rsidRPr="00681DE7">
        <w:rPr>
          <w:rFonts w:ascii="Arial" w:hAnsi="Arial" w:cs="Arial"/>
          <w:i/>
          <w:sz w:val="24"/>
          <w:szCs w:val="24"/>
          <w:lang w:val="en-GB"/>
        </w:rPr>
        <w:t>Mapping of the Nordic indicators with Agenda 2030</w:t>
      </w:r>
    </w:p>
    <w:p w14:paraId="69E5AFAA" w14:textId="726D55C5" w:rsidR="00066DA4" w:rsidRPr="000662CD" w:rsidRDefault="003F40FD" w:rsidP="000662CD">
      <w:pPr>
        <w:spacing w:before="360" w:after="0" w:line="360" w:lineRule="auto"/>
        <w:jc w:val="both"/>
        <w:rPr>
          <w:rFonts w:ascii="Arial" w:hAnsi="Arial" w:cs="Arial"/>
          <w:bCs/>
          <w:sz w:val="24"/>
          <w:szCs w:val="24"/>
          <w:lang w:val="en-GB"/>
        </w:rPr>
      </w:pPr>
      <w:r w:rsidRPr="000662CD">
        <w:rPr>
          <w:rFonts w:ascii="Arial" w:hAnsi="Arial" w:cs="Arial"/>
          <w:bCs/>
          <w:sz w:val="24"/>
          <w:szCs w:val="24"/>
          <w:lang w:val="en-GB"/>
        </w:rPr>
        <w:t>By the adoption of</w:t>
      </w:r>
      <w:r w:rsidR="000863A8" w:rsidRPr="00681DE7">
        <w:rPr>
          <w:rFonts w:ascii="Arial" w:hAnsi="Arial" w:cs="Arial"/>
          <w:bCs/>
          <w:sz w:val="24"/>
          <w:szCs w:val="24"/>
          <w:lang w:val="en-GB"/>
        </w:rPr>
        <w:t xml:space="preserve"> the </w:t>
      </w:r>
      <w:r w:rsidR="000863A8" w:rsidRPr="000662CD">
        <w:rPr>
          <w:rFonts w:ascii="Arial" w:hAnsi="Arial" w:cs="Arial"/>
          <w:bCs/>
          <w:sz w:val="24"/>
          <w:szCs w:val="24"/>
          <w:lang w:val="en-GB"/>
        </w:rPr>
        <w:t>Generation 2030 programme</w:t>
      </w:r>
      <w:r w:rsidR="003A00B1">
        <w:rPr>
          <w:rFonts w:ascii="Arial" w:hAnsi="Arial" w:cs="Arial"/>
          <w:bCs/>
          <w:sz w:val="24"/>
          <w:szCs w:val="24"/>
          <w:lang w:val="en-GB"/>
        </w:rPr>
        <w:t>,</w:t>
      </w:r>
      <w:r w:rsidR="000863A8" w:rsidRPr="000662CD">
        <w:rPr>
          <w:rFonts w:ascii="Arial" w:hAnsi="Arial" w:cs="Arial"/>
          <w:bCs/>
          <w:sz w:val="24"/>
          <w:szCs w:val="24"/>
          <w:lang w:val="en-GB"/>
        </w:rPr>
        <w:t xml:space="preserve"> </w:t>
      </w:r>
      <w:r w:rsidR="004E6E97">
        <w:rPr>
          <w:rFonts w:ascii="Arial" w:hAnsi="Arial" w:cs="Arial"/>
          <w:bCs/>
          <w:sz w:val="24"/>
          <w:szCs w:val="24"/>
          <w:lang w:val="en-GB"/>
        </w:rPr>
        <w:t>it seemed relevant</w:t>
      </w:r>
      <w:r w:rsidRPr="000662CD">
        <w:rPr>
          <w:rFonts w:ascii="Arial" w:hAnsi="Arial" w:cs="Arial"/>
          <w:bCs/>
          <w:sz w:val="24"/>
          <w:szCs w:val="24"/>
          <w:lang w:val="en-GB"/>
        </w:rPr>
        <w:t xml:space="preserve"> to con</w:t>
      </w:r>
      <w:r w:rsidR="004E6E97">
        <w:rPr>
          <w:rFonts w:ascii="Arial" w:hAnsi="Arial" w:cs="Arial"/>
          <w:bCs/>
          <w:sz w:val="24"/>
          <w:szCs w:val="24"/>
          <w:lang w:val="en-GB"/>
        </w:rPr>
        <w:t>s</w:t>
      </w:r>
      <w:r w:rsidRPr="000662CD">
        <w:rPr>
          <w:rFonts w:ascii="Arial" w:hAnsi="Arial" w:cs="Arial"/>
          <w:bCs/>
          <w:sz w:val="24"/>
          <w:szCs w:val="24"/>
          <w:lang w:val="en-GB"/>
        </w:rPr>
        <w:t>ider</w:t>
      </w:r>
      <w:r w:rsidR="00F6387E">
        <w:rPr>
          <w:rFonts w:ascii="Arial" w:hAnsi="Arial" w:cs="Arial"/>
          <w:bCs/>
          <w:sz w:val="24"/>
          <w:szCs w:val="24"/>
          <w:lang w:val="en-GB"/>
        </w:rPr>
        <w:t xml:space="preserve"> </w:t>
      </w:r>
      <w:r w:rsidRPr="000662CD">
        <w:rPr>
          <w:rFonts w:ascii="Arial" w:hAnsi="Arial" w:cs="Arial"/>
          <w:bCs/>
          <w:sz w:val="24"/>
          <w:szCs w:val="24"/>
          <w:lang w:val="en-GB"/>
        </w:rPr>
        <w:t xml:space="preserve">how the </w:t>
      </w:r>
      <w:r w:rsidR="000863A8" w:rsidRPr="000662CD">
        <w:rPr>
          <w:rFonts w:ascii="Arial" w:hAnsi="Arial" w:cs="Arial"/>
          <w:bCs/>
          <w:sz w:val="24"/>
          <w:szCs w:val="24"/>
          <w:lang w:val="en-GB"/>
        </w:rPr>
        <w:t xml:space="preserve">Nordic </w:t>
      </w:r>
      <w:r w:rsidRPr="000662CD">
        <w:rPr>
          <w:rFonts w:ascii="Arial" w:hAnsi="Arial" w:cs="Arial"/>
          <w:bCs/>
          <w:sz w:val="24"/>
          <w:szCs w:val="24"/>
          <w:lang w:val="en-GB"/>
        </w:rPr>
        <w:t xml:space="preserve">sustainable development </w:t>
      </w:r>
      <w:r w:rsidR="00FA5EB6" w:rsidRPr="000662CD">
        <w:rPr>
          <w:rFonts w:ascii="Arial" w:hAnsi="Arial" w:cs="Arial"/>
          <w:bCs/>
          <w:sz w:val="24"/>
          <w:szCs w:val="24"/>
          <w:lang w:val="en-GB"/>
        </w:rPr>
        <w:t xml:space="preserve">indicators </w:t>
      </w:r>
      <w:r w:rsidR="000662CD" w:rsidRPr="000662CD">
        <w:rPr>
          <w:rFonts w:ascii="Arial" w:hAnsi="Arial" w:cs="Arial"/>
          <w:bCs/>
          <w:sz w:val="24"/>
          <w:szCs w:val="24"/>
          <w:lang w:val="en-GB"/>
        </w:rPr>
        <w:t xml:space="preserve">are </w:t>
      </w:r>
      <w:r w:rsidR="004E6E97">
        <w:rPr>
          <w:rFonts w:ascii="Arial" w:hAnsi="Arial" w:cs="Arial"/>
          <w:bCs/>
          <w:sz w:val="24"/>
          <w:szCs w:val="24"/>
          <w:lang w:val="en-GB"/>
        </w:rPr>
        <w:t>in sync</w:t>
      </w:r>
      <w:r w:rsidR="00066DA4" w:rsidRPr="000662CD">
        <w:rPr>
          <w:rFonts w:ascii="Arial" w:hAnsi="Arial" w:cs="Arial"/>
          <w:bCs/>
          <w:sz w:val="24"/>
          <w:szCs w:val="24"/>
          <w:lang w:val="en-GB"/>
        </w:rPr>
        <w:t xml:space="preserve"> with the</w:t>
      </w:r>
      <w:r w:rsidR="00FA5EB6" w:rsidRPr="000662CD">
        <w:rPr>
          <w:rFonts w:ascii="Arial" w:hAnsi="Arial" w:cs="Arial"/>
          <w:bCs/>
          <w:sz w:val="24"/>
          <w:szCs w:val="24"/>
          <w:lang w:val="en-GB"/>
        </w:rPr>
        <w:t xml:space="preserve"> Agenda 2030</w:t>
      </w:r>
      <w:r w:rsidR="004E6E97">
        <w:rPr>
          <w:rFonts w:ascii="Arial" w:hAnsi="Arial" w:cs="Arial"/>
          <w:bCs/>
          <w:sz w:val="24"/>
          <w:szCs w:val="24"/>
          <w:lang w:val="en-GB"/>
        </w:rPr>
        <w:t xml:space="preserve"> indicators.</w:t>
      </w:r>
      <w:r w:rsidR="00FA5EB6" w:rsidRPr="000662CD">
        <w:rPr>
          <w:rFonts w:ascii="Arial" w:hAnsi="Arial" w:cs="Arial"/>
          <w:bCs/>
          <w:sz w:val="24"/>
          <w:szCs w:val="24"/>
          <w:lang w:val="en-GB"/>
        </w:rPr>
        <w:t xml:space="preserve"> A mapping was </w:t>
      </w:r>
      <w:r w:rsidR="00096188" w:rsidRPr="000662CD">
        <w:rPr>
          <w:rFonts w:ascii="Arial" w:hAnsi="Arial" w:cs="Arial"/>
          <w:bCs/>
          <w:sz w:val="24"/>
          <w:szCs w:val="24"/>
          <w:lang w:val="en-GB"/>
        </w:rPr>
        <w:t xml:space="preserve">carried out </w:t>
      </w:r>
      <w:r w:rsidR="004E6E97">
        <w:rPr>
          <w:rFonts w:ascii="Arial" w:hAnsi="Arial" w:cs="Arial"/>
          <w:bCs/>
          <w:sz w:val="24"/>
          <w:szCs w:val="24"/>
          <w:lang w:val="en-GB"/>
        </w:rPr>
        <w:t xml:space="preserve">in the pilot project </w:t>
      </w:r>
      <w:r w:rsidR="00096188" w:rsidRPr="000662CD">
        <w:rPr>
          <w:rFonts w:ascii="Arial" w:hAnsi="Arial" w:cs="Arial"/>
          <w:bCs/>
          <w:sz w:val="24"/>
          <w:szCs w:val="24"/>
          <w:lang w:val="en-GB"/>
        </w:rPr>
        <w:t>to investigat</w:t>
      </w:r>
      <w:r w:rsidR="00BF48F2" w:rsidRPr="000662CD">
        <w:rPr>
          <w:rFonts w:ascii="Arial" w:hAnsi="Arial" w:cs="Arial"/>
          <w:bCs/>
          <w:sz w:val="24"/>
          <w:szCs w:val="24"/>
          <w:lang w:val="en-GB"/>
        </w:rPr>
        <w:t>e</w:t>
      </w:r>
      <w:r w:rsidR="00FA5EB6" w:rsidRPr="000662CD">
        <w:rPr>
          <w:rFonts w:ascii="Arial" w:hAnsi="Arial" w:cs="Arial"/>
          <w:bCs/>
          <w:sz w:val="24"/>
          <w:szCs w:val="24"/>
          <w:lang w:val="en-GB"/>
        </w:rPr>
        <w:t xml:space="preserve"> how the indicators in the </w:t>
      </w:r>
      <w:r w:rsidR="003B3FA1" w:rsidRPr="000662CD">
        <w:rPr>
          <w:rFonts w:ascii="Arial" w:hAnsi="Arial" w:cs="Arial"/>
          <w:bCs/>
          <w:sz w:val="24"/>
          <w:szCs w:val="24"/>
          <w:lang w:val="en-GB"/>
        </w:rPr>
        <w:t>N</w:t>
      </w:r>
      <w:r w:rsidR="00FA5EB6" w:rsidRPr="000662CD">
        <w:rPr>
          <w:rFonts w:ascii="Arial" w:hAnsi="Arial" w:cs="Arial"/>
          <w:bCs/>
          <w:sz w:val="24"/>
          <w:szCs w:val="24"/>
          <w:lang w:val="en-GB"/>
        </w:rPr>
        <w:t>ordic strategy related to the 17 SDG goals</w:t>
      </w:r>
      <w:r w:rsidR="00F81773" w:rsidRPr="000662CD">
        <w:rPr>
          <w:rFonts w:ascii="Arial" w:hAnsi="Arial" w:cs="Arial"/>
          <w:bCs/>
          <w:sz w:val="24"/>
          <w:szCs w:val="24"/>
          <w:lang w:val="en-GB"/>
        </w:rPr>
        <w:t xml:space="preserve"> </w:t>
      </w:r>
      <w:r w:rsidR="00FA5EB6" w:rsidRPr="000662CD">
        <w:rPr>
          <w:rFonts w:ascii="Arial" w:hAnsi="Arial" w:cs="Arial"/>
          <w:bCs/>
          <w:sz w:val="24"/>
          <w:szCs w:val="24"/>
          <w:lang w:val="en-GB"/>
        </w:rPr>
        <w:t xml:space="preserve">in Agenda 2030. In </w:t>
      </w:r>
      <w:r w:rsidR="00BF48F2" w:rsidRPr="000662CD">
        <w:rPr>
          <w:rFonts w:ascii="Arial" w:hAnsi="Arial" w:cs="Arial"/>
          <w:bCs/>
          <w:sz w:val="24"/>
          <w:szCs w:val="24"/>
          <w:lang w:val="en-GB"/>
        </w:rPr>
        <w:t>F</w:t>
      </w:r>
      <w:r w:rsidR="00FA5EB6" w:rsidRPr="000662CD">
        <w:rPr>
          <w:rFonts w:ascii="Arial" w:hAnsi="Arial" w:cs="Arial"/>
          <w:bCs/>
          <w:sz w:val="24"/>
          <w:szCs w:val="24"/>
          <w:lang w:val="en-GB"/>
        </w:rPr>
        <w:t xml:space="preserve">igure 1 the classification of the Nordic indicators is to the left and </w:t>
      </w:r>
      <w:r w:rsidR="003B3FA1" w:rsidRPr="000662CD">
        <w:rPr>
          <w:rFonts w:ascii="Arial" w:hAnsi="Arial" w:cs="Arial"/>
          <w:bCs/>
          <w:sz w:val="24"/>
          <w:szCs w:val="24"/>
          <w:lang w:val="en-GB"/>
        </w:rPr>
        <w:t xml:space="preserve">the </w:t>
      </w:r>
      <w:r w:rsidR="00FA5EB6" w:rsidRPr="000662CD">
        <w:rPr>
          <w:rFonts w:ascii="Arial" w:hAnsi="Arial" w:cs="Arial"/>
          <w:bCs/>
          <w:sz w:val="24"/>
          <w:szCs w:val="24"/>
          <w:lang w:val="en-GB"/>
        </w:rPr>
        <w:t>associated SDG in Agenda 2030 is to the right.</w:t>
      </w:r>
    </w:p>
    <w:p w14:paraId="2B2C9542" w14:textId="62F0851D" w:rsidR="00400AFB" w:rsidRPr="00681DE7" w:rsidRDefault="00400AFB" w:rsidP="00400AFB">
      <w:pPr>
        <w:spacing w:before="360" w:after="0" w:line="360" w:lineRule="auto"/>
        <w:jc w:val="both"/>
        <w:rPr>
          <w:rFonts w:ascii="Arial" w:hAnsi="Arial" w:cs="Arial"/>
          <w:i/>
          <w:sz w:val="24"/>
          <w:szCs w:val="24"/>
          <w:lang w:val="en-GB"/>
        </w:rPr>
      </w:pPr>
      <w:r>
        <w:rPr>
          <w:rFonts w:ascii="Arial" w:hAnsi="Arial" w:cs="Arial"/>
          <w:i/>
          <w:sz w:val="24"/>
          <w:szCs w:val="24"/>
          <w:lang w:val="en-GB"/>
        </w:rPr>
        <w:t>Figure 2</w:t>
      </w:r>
      <w:r w:rsidRPr="00681DE7">
        <w:rPr>
          <w:rFonts w:ascii="Arial" w:hAnsi="Arial" w:cs="Arial"/>
          <w:i/>
          <w:sz w:val="24"/>
          <w:szCs w:val="24"/>
          <w:lang w:val="en-GB"/>
        </w:rPr>
        <w:t>, Mapping of the Nordic sustainability indicators to the seventeen SDG:s in Agenda 2030. (Indicators that do not match to any SDG are labelled as ‘none’ to the right in the figure.)</w:t>
      </w:r>
    </w:p>
    <w:p w14:paraId="6866BC6C" w14:textId="34A58803" w:rsidR="00400AFB" w:rsidRDefault="00400AFB" w:rsidP="00400AFB">
      <w:pPr>
        <w:spacing w:before="360" w:after="0" w:line="360" w:lineRule="auto"/>
        <w:jc w:val="center"/>
        <w:rPr>
          <w:rFonts w:ascii="Arial" w:hAnsi="Arial" w:cs="Arial"/>
          <w:i/>
          <w:sz w:val="24"/>
          <w:szCs w:val="24"/>
          <w:lang w:val="en-GB"/>
        </w:rPr>
      </w:pPr>
      <w:r>
        <w:rPr>
          <w:rFonts w:ascii="Arial" w:hAnsi="Arial" w:cs="Arial"/>
          <w:noProof/>
          <w:sz w:val="24"/>
          <w:szCs w:val="24"/>
          <w:lang w:val="sv-SE" w:eastAsia="sv-SE"/>
        </w:rPr>
        <mc:AlternateContent>
          <mc:Choice Requires="wps">
            <w:drawing>
              <wp:anchor distT="0" distB="0" distL="114300" distR="114300" simplePos="0" relativeHeight="251661312" behindDoc="0" locked="0" layoutInCell="1" allowOverlap="1" wp14:anchorId="5BC8F028" wp14:editId="5347C1AE">
                <wp:simplePos x="0" y="0"/>
                <wp:positionH relativeFrom="margin">
                  <wp:align>left</wp:align>
                </wp:positionH>
                <wp:positionV relativeFrom="paragraph">
                  <wp:posOffset>48222</wp:posOffset>
                </wp:positionV>
                <wp:extent cx="6002767" cy="5809129"/>
                <wp:effectExtent l="0" t="0" r="17145" b="20320"/>
                <wp:wrapNone/>
                <wp:docPr id="2" name="Rektangel 2"/>
                <wp:cNvGraphicFramePr/>
                <a:graphic xmlns:a="http://schemas.openxmlformats.org/drawingml/2006/main">
                  <a:graphicData uri="http://schemas.microsoft.com/office/word/2010/wordprocessingShape">
                    <wps:wsp>
                      <wps:cNvSpPr/>
                      <wps:spPr>
                        <a:xfrm>
                          <a:off x="0" y="0"/>
                          <a:ext cx="6002767" cy="58091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E0DD7" id="Rektangel 2" o:spid="_x0000_s1026" style="position:absolute;margin-left:0;margin-top:3.8pt;width:472.65pt;height:457.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" filled="f" strokecolor="black [3213]" strokeweight="1pt">
                <w10:wrap anchorx="margin"/>
              </v:rect>
            </w:pict>
          </mc:Fallback>
        </mc:AlternateContent>
      </w:r>
      <w:r w:rsidRPr="00681DE7">
        <w:rPr>
          <w:rFonts w:ascii="Arial" w:hAnsi="Arial" w:cs="Arial"/>
          <w:noProof/>
          <w:sz w:val="24"/>
          <w:szCs w:val="24"/>
          <w:lang w:val="sv-SE" w:eastAsia="sv-SE"/>
        </w:rPr>
        <mc:AlternateContent>
          <mc:Choice Requires="wps">
            <w:drawing>
              <wp:anchor distT="0" distB="0" distL="114300" distR="114300" simplePos="0" relativeHeight="251659264" behindDoc="0" locked="0" layoutInCell="1" allowOverlap="1" wp14:anchorId="134913C3" wp14:editId="518ADFB2">
                <wp:simplePos x="0" y="0"/>
                <wp:positionH relativeFrom="margin">
                  <wp:posOffset>12476</wp:posOffset>
                </wp:positionH>
                <wp:positionV relativeFrom="paragraph">
                  <wp:posOffset>46318</wp:posOffset>
                </wp:positionV>
                <wp:extent cx="2924175" cy="264160"/>
                <wp:effectExtent l="0" t="0" r="28575" b="21590"/>
                <wp:wrapNone/>
                <wp:docPr id="6" name="Textruta 6"/>
                <wp:cNvGraphicFramePr/>
                <a:graphic xmlns:a="http://schemas.openxmlformats.org/drawingml/2006/main">
                  <a:graphicData uri="http://schemas.microsoft.com/office/word/2010/wordprocessingShape">
                    <wps:wsp>
                      <wps:cNvSpPr txBox="1"/>
                      <wps:spPr>
                        <a:xfrm>
                          <a:off x="0" y="0"/>
                          <a:ext cx="2924175" cy="264160"/>
                        </a:xfrm>
                        <a:prstGeom prst="rect">
                          <a:avLst/>
                        </a:prstGeom>
                        <a:solidFill>
                          <a:schemeClr val="lt1"/>
                        </a:solidFill>
                        <a:ln w="6350">
                          <a:solidFill>
                            <a:schemeClr val="bg1"/>
                          </a:solidFill>
                        </a:ln>
                      </wps:spPr>
                      <wps:txbx>
                        <w:txbxContent>
                          <w:p w14:paraId="29DD55AD" w14:textId="77777777" w:rsidR="00400AFB" w:rsidRPr="000236F1" w:rsidRDefault="00400AFB" w:rsidP="00400AFB">
                            <w:pPr>
                              <w:rPr>
                                <w:b/>
                              </w:rPr>
                            </w:pPr>
                            <w:r w:rsidRPr="000236F1">
                              <w:rPr>
                                <w:b/>
                              </w:rPr>
                              <w:t>Nordic sustainable development indicators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4913C3" id="_x0000_t202" coordsize="21600,21600" o:spt="202" path="m,l,21600r21600,l21600,xe">
                <v:stroke joinstyle="miter"/>
                <v:path gradientshapeok="t" o:connecttype="rect"/>
              </v:shapetype>
              <v:shape id="Textruta 6" o:spid="_x0000_s1026" type="#_x0000_t202" style="position:absolute;left:0;text-align:left;margin-left:1pt;margin-top:3.65pt;width:230.25pt;height:20.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" fillcolor="white [3201]" strokecolor="white [3212]" strokeweight=".5pt">
                <v:textbox>
                  <w:txbxContent>
                    <w:p w14:paraId="29DD55AD" w14:textId="77777777" w:rsidR="00400AFB" w:rsidRPr="000236F1" w:rsidRDefault="00400AFB" w:rsidP="00400AFB">
                      <w:pPr>
                        <w:rPr>
                          <w:b/>
                        </w:rPr>
                      </w:pPr>
                      <w:r w:rsidRPr="000236F1">
                        <w:rPr>
                          <w:b/>
                        </w:rPr>
                        <w:t>Nordic sustainable development indicators indicators</w:t>
                      </w:r>
                    </w:p>
                  </w:txbxContent>
                </v:textbox>
                <w10:wrap anchorx="margin"/>
              </v:shape>
            </w:pict>
          </mc:Fallback>
        </mc:AlternateContent>
      </w:r>
      <w:r w:rsidRPr="00681DE7">
        <w:rPr>
          <w:rFonts w:ascii="Arial" w:hAnsi="Arial" w:cs="Arial"/>
          <w:noProof/>
          <w:sz w:val="24"/>
          <w:szCs w:val="24"/>
          <w:lang w:val="sv-SE" w:eastAsia="sv-SE"/>
        </w:rPr>
        <mc:AlternateContent>
          <mc:Choice Requires="wps">
            <w:drawing>
              <wp:anchor distT="0" distB="0" distL="114300" distR="114300" simplePos="0" relativeHeight="251660288" behindDoc="0" locked="0" layoutInCell="1" allowOverlap="1" wp14:anchorId="383427F5" wp14:editId="2DBAD801">
                <wp:simplePos x="0" y="0"/>
                <wp:positionH relativeFrom="column">
                  <wp:posOffset>4519295</wp:posOffset>
                </wp:positionH>
                <wp:positionV relativeFrom="paragraph">
                  <wp:posOffset>45085</wp:posOffset>
                </wp:positionV>
                <wp:extent cx="1914525" cy="264160"/>
                <wp:effectExtent l="0" t="0" r="28575" b="21590"/>
                <wp:wrapNone/>
                <wp:docPr id="7" name="Textruta 7"/>
                <wp:cNvGraphicFramePr/>
                <a:graphic xmlns:a="http://schemas.openxmlformats.org/drawingml/2006/main">
                  <a:graphicData uri="http://schemas.microsoft.com/office/word/2010/wordprocessingShape">
                    <wps:wsp>
                      <wps:cNvSpPr txBox="1"/>
                      <wps:spPr>
                        <a:xfrm>
                          <a:off x="0" y="0"/>
                          <a:ext cx="1914525" cy="264160"/>
                        </a:xfrm>
                        <a:prstGeom prst="rect">
                          <a:avLst/>
                        </a:prstGeom>
                        <a:solidFill>
                          <a:schemeClr val="lt1"/>
                        </a:solidFill>
                        <a:ln w="6350">
                          <a:solidFill>
                            <a:schemeClr val="bg1"/>
                          </a:solidFill>
                        </a:ln>
                      </wps:spPr>
                      <wps:txbx>
                        <w:txbxContent>
                          <w:p w14:paraId="101251EB" w14:textId="77777777" w:rsidR="00400AFB" w:rsidRPr="000236F1" w:rsidRDefault="00400AFB" w:rsidP="00400AFB">
                            <w:pPr>
                              <w:rPr>
                                <w:b/>
                              </w:rPr>
                            </w:pPr>
                            <w:r w:rsidRPr="000236F1">
                              <w:rPr>
                                <w:b/>
                              </w:rPr>
                              <w:t>SDG:s in Agenda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3427F5" id="Textruta 7" o:spid="_x0000_s1027" type="#_x0000_t202" style="position:absolute;left:0;text-align:left;margin-left:355.85pt;margin-top:3.55pt;width:150.75pt;height:2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" fillcolor="white [3201]" strokecolor="white [3212]" strokeweight=".5pt">
                <v:textbox>
                  <w:txbxContent>
                    <w:p w14:paraId="101251EB" w14:textId="77777777" w:rsidR="00400AFB" w:rsidRPr="000236F1" w:rsidRDefault="00400AFB" w:rsidP="00400AFB">
                      <w:pPr>
                        <w:rPr>
                          <w:b/>
                        </w:rPr>
                      </w:pPr>
                      <w:r w:rsidRPr="000236F1">
                        <w:rPr>
                          <w:b/>
                        </w:rPr>
                        <w:t xml:space="preserve">SDG:s </w:t>
                      </w:r>
                      <w:r w:rsidRPr="000236F1">
                        <w:rPr>
                          <w:b/>
                        </w:rPr>
                        <w:t>in Agenda 2030</w:t>
                      </w:r>
                    </w:p>
                  </w:txbxContent>
                </v:textbox>
              </v:shape>
            </w:pict>
          </mc:Fallback>
        </mc:AlternateContent>
      </w:r>
      <w:r w:rsidRPr="00681DE7">
        <w:rPr>
          <w:rFonts w:ascii="Arial" w:hAnsi="Arial" w:cs="Arial"/>
          <w:noProof/>
          <w:sz w:val="24"/>
          <w:szCs w:val="24"/>
          <w:lang w:val="sv-SE" w:eastAsia="sv-SE"/>
        </w:rPr>
        <w:drawing>
          <wp:inline distT="0" distB="0" distL="0" distR="0" wp14:anchorId="79D638A9" wp14:editId="5C5A225F">
            <wp:extent cx="4109421" cy="3238023"/>
            <wp:effectExtent l="57150" t="57150" r="62865" b="577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23" t="-250" r="3486" b="20008"/>
                    <a:stretch/>
                  </pic:blipFill>
                  <pic:spPr bwMode="auto">
                    <a:xfrm>
                      <a:off x="0" y="0"/>
                      <a:ext cx="4168453" cy="3284537"/>
                    </a:xfrm>
                    <a:prstGeom prst="rect">
                      <a:avLst/>
                    </a:prstGeom>
                    <a:solidFill>
                      <a:srgbClr val="FFFFFF">
                        <a:shade val="85000"/>
                      </a:srgbClr>
                    </a:solidFill>
                    <a:ln w="3175" cap="sq" cmpd="sng" algn="ctr">
                      <a:solidFill>
                        <a:srgbClr val="FFFFFF"/>
                      </a:solidFill>
                      <a:prstDash val="solid"/>
                      <a:miter lim="800000"/>
                      <a:headEnd type="none" w="med" len="med"/>
                      <a:tailEnd type="none" w="med" len="med"/>
                    </a:ln>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85764F5" w14:textId="77777777" w:rsidR="00400AFB" w:rsidRDefault="00400AFB" w:rsidP="00400AFB">
      <w:pPr>
        <w:jc w:val="center"/>
        <w:rPr>
          <w:rFonts w:ascii="Arial" w:hAnsi="Arial" w:cs="Arial"/>
          <w:i/>
          <w:sz w:val="24"/>
          <w:szCs w:val="24"/>
          <w:lang w:val="en-GB"/>
        </w:rPr>
      </w:pPr>
      <w:r>
        <w:rPr>
          <w:rFonts w:ascii="Arial" w:hAnsi="Arial" w:cs="Arial"/>
          <w:i/>
          <w:noProof/>
          <w:sz w:val="24"/>
          <w:szCs w:val="24"/>
          <w:lang w:val="en-GB"/>
        </w:rPr>
        <w:drawing>
          <wp:inline distT="0" distB="0" distL="0" distR="0" wp14:anchorId="3E5C7BD1" wp14:editId="53E463C5">
            <wp:extent cx="4216997" cy="2095082"/>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2018_SDG_Poster_with_UN_emblem.png"/>
                    <pic:cNvPicPr/>
                  </pic:nvPicPr>
                  <pic:blipFill rotWithShape="1">
                    <a:blip r:embed="rId9" cstate="print">
                      <a:extLst>
                        <a:ext uri="{28A0092B-C50C-407E-A947-70E740481C1C}">
                          <a14:useLocalDpi xmlns:a14="http://schemas.microsoft.com/office/drawing/2010/main" val="0"/>
                        </a:ext>
                      </a:extLst>
                    </a:blip>
                    <a:srcRect l="3532" t="25155" r="2868" b="12735"/>
                    <a:stretch/>
                  </pic:blipFill>
                  <pic:spPr bwMode="auto">
                    <a:xfrm>
                      <a:off x="0" y="0"/>
                      <a:ext cx="4253246" cy="2113091"/>
                    </a:xfrm>
                    <a:prstGeom prst="rect">
                      <a:avLst/>
                    </a:prstGeom>
                    <a:ln>
                      <a:noFill/>
                    </a:ln>
                    <a:extLst>
                      <a:ext uri="{53640926-AAD7-44D8-BBD7-CCE9431645EC}">
                        <a14:shadowObscured xmlns:a14="http://schemas.microsoft.com/office/drawing/2010/main"/>
                      </a:ext>
                    </a:extLst>
                  </pic:spPr>
                </pic:pic>
              </a:graphicData>
            </a:graphic>
          </wp:inline>
        </w:drawing>
      </w:r>
    </w:p>
    <w:p w14:paraId="520F24F1" w14:textId="5C653AA6" w:rsidR="00066DA4" w:rsidRPr="00681DE7" w:rsidRDefault="00400AFB" w:rsidP="00400AFB">
      <w:pPr>
        <w:rPr>
          <w:rFonts w:ascii="Arial" w:hAnsi="Arial" w:cs="Arial"/>
          <w:sz w:val="24"/>
          <w:szCs w:val="24"/>
          <w:lang w:val="en-GB"/>
        </w:rPr>
      </w:pPr>
      <w:r>
        <w:rPr>
          <w:rFonts w:ascii="Arial" w:hAnsi="Arial" w:cs="Arial"/>
          <w:sz w:val="24"/>
          <w:szCs w:val="24"/>
          <w:lang w:val="en-GB"/>
        </w:rPr>
        <w:br w:type="page"/>
      </w:r>
      <w:r w:rsidR="00066DA4">
        <w:rPr>
          <w:rFonts w:ascii="Arial" w:hAnsi="Arial" w:cs="Arial"/>
          <w:sz w:val="24"/>
          <w:szCs w:val="24"/>
          <w:lang w:val="en-GB"/>
        </w:rPr>
        <w:lastRenderedPageBreak/>
        <w:t>Three</w:t>
      </w:r>
      <w:r w:rsidR="00066DA4" w:rsidRPr="00681DE7">
        <w:rPr>
          <w:rFonts w:ascii="Arial" w:hAnsi="Arial" w:cs="Arial"/>
          <w:sz w:val="24"/>
          <w:szCs w:val="24"/>
          <w:lang w:val="en-GB"/>
        </w:rPr>
        <w:t xml:space="preserve"> conclu</w:t>
      </w:r>
      <w:r w:rsidR="004E6E97">
        <w:rPr>
          <w:rFonts w:ascii="Arial" w:hAnsi="Arial" w:cs="Arial"/>
          <w:sz w:val="24"/>
          <w:szCs w:val="24"/>
          <w:lang w:val="en-GB"/>
        </w:rPr>
        <w:t>sions can be derived from this mapping</w:t>
      </w:r>
      <w:r w:rsidR="00066DA4" w:rsidRPr="00681DE7">
        <w:rPr>
          <w:rFonts w:ascii="Arial" w:hAnsi="Arial" w:cs="Arial"/>
          <w:sz w:val="24"/>
          <w:szCs w:val="24"/>
          <w:lang w:val="en-GB"/>
        </w:rPr>
        <w:t xml:space="preserve">. </w:t>
      </w:r>
    </w:p>
    <w:p w14:paraId="2A0919A1" w14:textId="77777777" w:rsidR="00066DA4" w:rsidRPr="00681DE7" w:rsidRDefault="00066DA4" w:rsidP="00066DA4">
      <w:pPr>
        <w:pStyle w:val="Listeafsnit"/>
        <w:numPr>
          <w:ilvl w:val="0"/>
          <w:numId w:val="8"/>
        </w:numPr>
        <w:spacing w:before="360" w:after="0" w:line="360" w:lineRule="auto"/>
        <w:jc w:val="both"/>
        <w:rPr>
          <w:rFonts w:ascii="Arial" w:hAnsi="Arial" w:cs="Arial"/>
          <w:sz w:val="24"/>
          <w:szCs w:val="24"/>
          <w:lang w:val="en-GB"/>
        </w:rPr>
      </w:pPr>
      <w:r w:rsidRPr="00681DE7">
        <w:rPr>
          <w:rFonts w:ascii="Arial" w:hAnsi="Arial" w:cs="Arial"/>
          <w:sz w:val="24"/>
          <w:szCs w:val="24"/>
          <w:lang w:val="en-GB"/>
        </w:rPr>
        <w:t>Most Nordic indicators are in the areas of welfare and earth resources.</w:t>
      </w:r>
    </w:p>
    <w:p w14:paraId="3A28F46E" w14:textId="62635B51" w:rsidR="00066DA4" w:rsidRPr="00681DE7" w:rsidRDefault="00066DA4" w:rsidP="00066DA4">
      <w:pPr>
        <w:pStyle w:val="Listeafsnit"/>
        <w:numPr>
          <w:ilvl w:val="0"/>
          <w:numId w:val="8"/>
        </w:numPr>
        <w:spacing w:before="360" w:after="0" w:line="360" w:lineRule="auto"/>
        <w:jc w:val="both"/>
        <w:rPr>
          <w:rFonts w:ascii="Arial" w:hAnsi="Arial" w:cs="Arial"/>
          <w:sz w:val="24"/>
          <w:szCs w:val="24"/>
          <w:lang w:val="en-GB"/>
        </w:rPr>
      </w:pPr>
      <w:r w:rsidRPr="00681DE7">
        <w:rPr>
          <w:rFonts w:ascii="Arial" w:hAnsi="Arial" w:cs="Arial"/>
          <w:sz w:val="24"/>
          <w:szCs w:val="24"/>
          <w:lang w:val="en-GB"/>
        </w:rPr>
        <w:t xml:space="preserve">Many of the welfare indicators do not match </w:t>
      </w:r>
      <w:r w:rsidR="00674CF6">
        <w:rPr>
          <w:rFonts w:ascii="Arial" w:hAnsi="Arial" w:cs="Arial"/>
          <w:sz w:val="24"/>
          <w:szCs w:val="24"/>
          <w:lang w:val="en-GB"/>
        </w:rPr>
        <w:t xml:space="preserve">directly </w:t>
      </w:r>
      <w:r w:rsidRPr="00681DE7">
        <w:rPr>
          <w:rFonts w:ascii="Arial" w:hAnsi="Arial" w:cs="Arial"/>
          <w:sz w:val="24"/>
          <w:szCs w:val="24"/>
          <w:lang w:val="en-GB"/>
        </w:rPr>
        <w:t xml:space="preserve">to any of the Agenda 2030 SDGs (labelled ‘none’ to the </w:t>
      </w:r>
      <w:r>
        <w:rPr>
          <w:rFonts w:ascii="Arial" w:hAnsi="Arial" w:cs="Arial"/>
          <w:sz w:val="24"/>
          <w:szCs w:val="24"/>
          <w:lang w:val="en-GB"/>
        </w:rPr>
        <w:t xml:space="preserve">lower </w:t>
      </w:r>
      <w:r w:rsidRPr="00681DE7">
        <w:rPr>
          <w:rFonts w:ascii="Arial" w:hAnsi="Arial" w:cs="Arial"/>
          <w:sz w:val="24"/>
          <w:szCs w:val="24"/>
          <w:lang w:val="en-GB"/>
        </w:rPr>
        <w:t>right</w:t>
      </w:r>
      <w:r>
        <w:rPr>
          <w:rFonts w:ascii="Arial" w:hAnsi="Arial" w:cs="Arial"/>
          <w:sz w:val="24"/>
          <w:szCs w:val="24"/>
          <w:lang w:val="en-GB"/>
        </w:rPr>
        <w:t xml:space="preserve"> corner</w:t>
      </w:r>
      <w:r w:rsidRPr="00681DE7">
        <w:rPr>
          <w:rFonts w:ascii="Arial" w:hAnsi="Arial" w:cs="Arial"/>
          <w:sz w:val="24"/>
          <w:szCs w:val="24"/>
          <w:lang w:val="en-GB"/>
        </w:rPr>
        <w:t xml:space="preserve">). </w:t>
      </w:r>
    </w:p>
    <w:p w14:paraId="5035E99D" w14:textId="77777777" w:rsidR="00066DA4" w:rsidRPr="00681DE7" w:rsidRDefault="00066DA4" w:rsidP="00066DA4">
      <w:pPr>
        <w:pStyle w:val="Listeafsnit"/>
        <w:numPr>
          <w:ilvl w:val="0"/>
          <w:numId w:val="8"/>
        </w:numPr>
        <w:spacing w:before="360" w:after="0" w:line="360" w:lineRule="auto"/>
        <w:jc w:val="both"/>
        <w:rPr>
          <w:rFonts w:ascii="Arial" w:hAnsi="Arial" w:cs="Arial"/>
          <w:sz w:val="24"/>
          <w:szCs w:val="24"/>
          <w:lang w:val="en-GB"/>
        </w:rPr>
      </w:pPr>
      <w:r w:rsidRPr="00681DE7">
        <w:rPr>
          <w:rFonts w:ascii="Arial" w:hAnsi="Arial" w:cs="Arial"/>
          <w:sz w:val="24"/>
          <w:szCs w:val="24"/>
          <w:lang w:val="en-GB"/>
        </w:rPr>
        <w:t>Many of the SDGs in Agenda 2030 only have one or zero corresponding indicators in the Nordic indicator set.</w:t>
      </w:r>
    </w:p>
    <w:p w14:paraId="10C81DF7" w14:textId="79BE3CB4" w:rsidR="004E6E97" w:rsidRDefault="00066DA4" w:rsidP="00066DA4">
      <w:pPr>
        <w:spacing w:before="360" w:after="0" w:line="360" w:lineRule="auto"/>
        <w:jc w:val="both"/>
        <w:rPr>
          <w:rFonts w:ascii="Arial" w:hAnsi="Arial" w:cs="Arial"/>
          <w:sz w:val="24"/>
          <w:szCs w:val="24"/>
          <w:lang w:val="en-GB"/>
        </w:rPr>
      </w:pPr>
      <w:r w:rsidRPr="00681DE7">
        <w:rPr>
          <w:rFonts w:ascii="Arial" w:hAnsi="Arial" w:cs="Arial"/>
          <w:sz w:val="24"/>
          <w:szCs w:val="24"/>
          <w:lang w:val="en-GB"/>
        </w:rPr>
        <w:t xml:space="preserve">Hence, </w:t>
      </w:r>
      <w:r w:rsidR="00D17484">
        <w:rPr>
          <w:rFonts w:ascii="Arial" w:hAnsi="Arial" w:cs="Arial"/>
          <w:sz w:val="24"/>
          <w:szCs w:val="24"/>
          <w:lang w:val="en-GB"/>
        </w:rPr>
        <w:t>using</w:t>
      </w:r>
      <w:r w:rsidRPr="00681DE7">
        <w:rPr>
          <w:rFonts w:ascii="Arial" w:hAnsi="Arial" w:cs="Arial"/>
          <w:sz w:val="24"/>
          <w:szCs w:val="24"/>
          <w:lang w:val="en-GB"/>
        </w:rPr>
        <w:t xml:space="preserve"> the present set of Nordic indicators to </w:t>
      </w:r>
      <w:r w:rsidR="00B251D2">
        <w:rPr>
          <w:rFonts w:ascii="Arial" w:hAnsi="Arial" w:cs="Arial"/>
          <w:sz w:val="24"/>
          <w:szCs w:val="24"/>
          <w:lang w:val="en-GB"/>
        </w:rPr>
        <w:t>follow</w:t>
      </w:r>
      <w:r w:rsidRPr="00681DE7">
        <w:rPr>
          <w:rFonts w:ascii="Arial" w:hAnsi="Arial" w:cs="Arial"/>
          <w:sz w:val="24"/>
          <w:szCs w:val="24"/>
          <w:lang w:val="en-GB"/>
        </w:rPr>
        <w:t xml:space="preserve"> the Nordic countries progress according to Agenda 2030 does not seem to be a viable approach. </w:t>
      </w:r>
    </w:p>
    <w:p w14:paraId="7CDCC5DC" w14:textId="24D8B1A5" w:rsidR="006B1F86" w:rsidRPr="00681DE7" w:rsidRDefault="00C8694F" w:rsidP="006B1F86">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480BF4" w:rsidRPr="00681DE7">
        <w:rPr>
          <w:rFonts w:ascii="Arial" w:hAnsi="Arial" w:cs="Arial"/>
          <w:i/>
          <w:sz w:val="24"/>
          <w:szCs w:val="24"/>
          <w:lang w:val="en-GB"/>
        </w:rPr>
        <w:t>.</w:t>
      </w:r>
      <w:r>
        <w:rPr>
          <w:rFonts w:ascii="Arial" w:hAnsi="Arial" w:cs="Arial"/>
          <w:i/>
          <w:sz w:val="24"/>
          <w:szCs w:val="24"/>
          <w:lang w:val="en-GB"/>
        </w:rPr>
        <w:t>4</w:t>
      </w:r>
      <w:r w:rsidR="00480BF4" w:rsidRPr="00681DE7">
        <w:rPr>
          <w:rFonts w:ascii="Arial" w:hAnsi="Arial" w:cs="Arial"/>
          <w:i/>
          <w:sz w:val="24"/>
          <w:szCs w:val="24"/>
          <w:lang w:val="en-GB"/>
        </w:rPr>
        <w:t xml:space="preserve"> </w:t>
      </w:r>
      <w:r w:rsidR="007171F1">
        <w:rPr>
          <w:rFonts w:ascii="Arial" w:hAnsi="Arial" w:cs="Arial"/>
          <w:i/>
          <w:sz w:val="24"/>
          <w:szCs w:val="24"/>
          <w:lang w:val="en-GB"/>
        </w:rPr>
        <w:t xml:space="preserve">Focus area – SDG 12: </w:t>
      </w:r>
      <w:r w:rsidR="00ED0EFA" w:rsidRPr="00681DE7">
        <w:rPr>
          <w:rFonts w:ascii="Arial" w:hAnsi="Arial" w:cs="Arial"/>
          <w:i/>
          <w:sz w:val="24"/>
          <w:szCs w:val="24"/>
          <w:lang w:val="en-GB"/>
        </w:rPr>
        <w:t>Sustainable consumption and production</w:t>
      </w:r>
      <w:r w:rsidR="00480BF4" w:rsidRPr="00681DE7">
        <w:rPr>
          <w:rFonts w:ascii="Arial" w:hAnsi="Arial" w:cs="Arial"/>
          <w:i/>
          <w:sz w:val="24"/>
          <w:szCs w:val="24"/>
          <w:lang w:val="en-GB"/>
        </w:rPr>
        <w:t xml:space="preserve"> </w:t>
      </w:r>
    </w:p>
    <w:p w14:paraId="3C9F7E56" w14:textId="3C404E87" w:rsidR="008652FB" w:rsidRDefault="00B92293" w:rsidP="006B1F86">
      <w:pPr>
        <w:spacing w:before="360" w:after="0" w:line="360" w:lineRule="auto"/>
        <w:jc w:val="both"/>
        <w:rPr>
          <w:rFonts w:ascii="Arial" w:hAnsi="Arial" w:cs="Arial"/>
          <w:sz w:val="24"/>
          <w:szCs w:val="24"/>
          <w:lang w:val="en-GB"/>
        </w:rPr>
      </w:pPr>
      <w:r w:rsidRPr="00B92293">
        <w:rPr>
          <w:rFonts w:ascii="Arial" w:hAnsi="Arial" w:cs="Arial"/>
          <w:sz w:val="24"/>
          <w:szCs w:val="24"/>
          <w:lang w:val="en-GB"/>
        </w:rPr>
        <w:t>The Nordic countries rank high in international reports of nations' progress towards the 17 Sustainable Development Goals (SDG). Along with other industrialised countries, however, the Nordic countries have been ranked poorly in their progress towards SDG 12, which concerns Sustainable Consumption and Production. </w:t>
      </w:r>
      <w:r w:rsidR="004E128D" w:rsidRPr="00681DE7">
        <w:rPr>
          <w:rFonts w:ascii="Arial" w:hAnsi="Arial" w:cs="Arial"/>
          <w:sz w:val="24"/>
          <w:szCs w:val="24"/>
          <w:lang w:val="en-GB"/>
        </w:rPr>
        <w:t xml:space="preserve">An area where the Nordic </w:t>
      </w:r>
      <w:r w:rsidR="00EB0CEB" w:rsidRPr="00681DE7">
        <w:rPr>
          <w:rFonts w:ascii="Arial" w:hAnsi="Arial" w:cs="Arial"/>
          <w:sz w:val="24"/>
          <w:szCs w:val="24"/>
          <w:lang w:val="en-GB"/>
        </w:rPr>
        <w:t>countries</w:t>
      </w:r>
      <w:r w:rsidR="004E128D" w:rsidRPr="00681DE7">
        <w:rPr>
          <w:rFonts w:ascii="Arial" w:hAnsi="Arial" w:cs="Arial"/>
          <w:sz w:val="24"/>
          <w:szCs w:val="24"/>
          <w:lang w:val="en-GB"/>
        </w:rPr>
        <w:t xml:space="preserve"> do not excel is in </w:t>
      </w:r>
      <w:r w:rsidR="008652FB" w:rsidRPr="00681DE7">
        <w:rPr>
          <w:rFonts w:ascii="Arial" w:hAnsi="Arial" w:cs="Arial"/>
          <w:sz w:val="24"/>
          <w:szCs w:val="24"/>
          <w:lang w:val="en-GB"/>
        </w:rPr>
        <w:t>SDG</w:t>
      </w:r>
      <w:r w:rsidR="004E128D" w:rsidRPr="00681DE7">
        <w:rPr>
          <w:rFonts w:ascii="Arial" w:hAnsi="Arial" w:cs="Arial"/>
          <w:sz w:val="24"/>
          <w:szCs w:val="24"/>
          <w:lang w:val="en-GB"/>
        </w:rPr>
        <w:t xml:space="preserve">12, sustainable </w:t>
      </w:r>
      <w:r w:rsidR="00EB0CEB" w:rsidRPr="00681DE7">
        <w:rPr>
          <w:rFonts w:ascii="Arial" w:hAnsi="Arial" w:cs="Arial"/>
          <w:sz w:val="24"/>
          <w:szCs w:val="24"/>
          <w:lang w:val="en-GB"/>
        </w:rPr>
        <w:t>consumption</w:t>
      </w:r>
      <w:r w:rsidR="004E128D" w:rsidRPr="00681DE7">
        <w:rPr>
          <w:rFonts w:ascii="Arial" w:hAnsi="Arial" w:cs="Arial"/>
          <w:sz w:val="24"/>
          <w:szCs w:val="24"/>
          <w:lang w:val="en-GB"/>
        </w:rPr>
        <w:t xml:space="preserve"> and production</w:t>
      </w:r>
      <w:r w:rsidR="00591387" w:rsidRPr="00681DE7">
        <w:rPr>
          <w:rFonts w:ascii="Arial" w:hAnsi="Arial" w:cs="Arial"/>
          <w:sz w:val="24"/>
          <w:szCs w:val="24"/>
          <w:lang w:val="en-GB"/>
        </w:rPr>
        <w:t>, see e.g. NCM (201</w:t>
      </w:r>
      <w:r w:rsidR="00BC42C7">
        <w:rPr>
          <w:rFonts w:ascii="Arial" w:hAnsi="Arial" w:cs="Arial"/>
          <w:sz w:val="24"/>
          <w:szCs w:val="24"/>
          <w:lang w:val="en-GB"/>
        </w:rPr>
        <w:t>8</w:t>
      </w:r>
      <w:r w:rsidR="00591387" w:rsidRPr="00681DE7">
        <w:rPr>
          <w:rFonts w:ascii="Arial" w:hAnsi="Arial" w:cs="Arial"/>
          <w:sz w:val="24"/>
          <w:szCs w:val="24"/>
          <w:lang w:val="en-GB"/>
        </w:rPr>
        <w:t>)</w:t>
      </w:r>
      <w:r w:rsidR="004E128D" w:rsidRPr="00681DE7">
        <w:rPr>
          <w:rFonts w:ascii="Arial" w:hAnsi="Arial" w:cs="Arial"/>
          <w:sz w:val="24"/>
          <w:szCs w:val="24"/>
          <w:lang w:val="en-GB"/>
        </w:rPr>
        <w:t xml:space="preserve">. </w:t>
      </w:r>
      <w:r w:rsidR="008652FB" w:rsidRPr="00681DE7">
        <w:rPr>
          <w:rFonts w:ascii="Arial" w:hAnsi="Arial" w:cs="Arial"/>
          <w:sz w:val="24"/>
          <w:szCs w:val="24"/>
          <w:lang w:val="en-GB"/>
        </w:rPr>
        <w:t xml:space="preserve">Hence, </w:t>
      </w:r>
      <w:r w:rsidR="007171F1">
        <w:rPr>
          <w:rFonts w:ascii="Arial" w:hAnsi="Arial" w:cs="Arial"/>
          <w:sz w:val="24"/>
          <w:szCs w:val="24"/>
          <w:lang w:val="en-GB"/>
        </w:rPr>
        <w:t>SDG12</w:t>
      </w:r>
      <w:r w:rsidR="008652FB" w:rsidRPr="00681DE7">
        <w:rPr>
          <w:rFonts w:ascii="Arial" w:hAnsi="Arial" w:cs="Arial"/>
          <w:sz w:val="24"/>
          <w:szCs w:val="24"/>
          <w:lang w:val="en-GB"/>
        </w:rPr>
        <w:t xml:space="preserve"> </w:t>
      </w:r>
      <w:r w:rsidR="008652FB" w:rsidRPr="00B92293">
        <w:rPr>
          <w:rFonts w:ascii="Arial" w:hAnsi="Arial" w:cs="Arial"/>
          <w:sz w:val="24"/>
          <w:szCs w:val="24"/>
          <w:lang w:val="en-GB"/>
        </w:rPr>
        <w:t xml:space="preserve">is </w:t>
      </w:r>
      <w:r w:rsidR="00134222" w:rsidRPr="00B92293">
        <w:rPr>
          <w:rFonts w:ascii="Arial" w:hAnsi="Arial" w:cs="Arial"/>
          <w:sz w:val="24"/>
          <w:szCs w:val="24"/>
          <w:lang w:val="en-GB"/>
        </w:rPr>
        <w:t xml:space="preserve">chosen as </w:t>
      </w:r>
      <w:r w:rsidR="008652FB" w:rsidRPr="00B92293">
        <w:rPr>
          <w:rFonts w:ascii="Arial" w:hAnsi="Arial" w:cs="Arial"/>
          <w:sz w:val="24"/>
          <w:szCs w:val="24"/>
          <w:lang w:val="en-GB"/>
        </w:rPr>
        <w:t xml:space="preserve">an important area for the Nordic Council of Ministers </w:t>
      </w:r>
      <w:r w:rsidR="007171F1" w:rsidRPr="00B92293">
        <w:rPr>
          <w:rFonts w:ascii="Arial" w:hAnsi="Arial" w:cs="Arial"/>
          <w:sz w:val="24"/>
          <w:szCs w:val="24"/>
          <w:lang w:val="en-GB"/>
        </w:rPr>
        <w:t>work around sustainable development</w:t>
      </w:r>
      <w:r w:rsidR="00606ADE">
        <w:rPr>
          <w:rFonts w:ascii="Arial" w:hAnsi="Arial" w:cs="Arial"/>
          <w:sz w:val="24"/>
          <w:szCs w:val="24"/>
          <w:lang w:val="en-GB"/>
        </w:rPr>
        <w:t xml:space="preserve"> – and as a focus point in the pilot project performed by Statisticon. </w:t>
      </w:r>
    </w:p>
    <w:p w14:paraId="476BA840" w14:textId="77777777" w:rsidR="00224C61" w:rsidRDefault="00224C61" w:rsidP="00224C61">
      <w:pPr>
        <w:pStyle w:val="Billedtekst"/>
        <w:keepNext/>
        <w:rPr>
          <w:rFonts w:ascii="Arial" w:hAnsi="Arial" w:cs="Arial"/>
          <w:bCs/>
          <w:iCs w:val="0"/>
          <w:color w:val="auto"/>
          <w:sz w:val="20"/>
          <w:szCs w:val="20"/>
          <w:lang w:val="en-GB"/>
        </w:rPr>
      </w:pPr>
    </w:p>
    <w:p w14:paraId="67B3A7E3" w14:textId="76C67A53" w:rsidR="00224C61" w:rsidRDefault="00224C61" w:rsidP="00224C61">
      <w:pPr>
        <w:pStyle w:val="Billedtekst"/>
        <w:keepNext/>
        <w:rPr>
          <w:sz w:val="28"/>
        </w:rPr>
      </w:pPr>
      <w:r>
        <w:rPr>
          <w:rFonts w:ascii="Arial" w:hAnsi="Arial" w:cs="Arial"/>
          <w:bCs/>
          <w:iCs w:val="0"/>
          <w:color w:val="auto"/>
          <w:sz w:val="20"/>
          <w:szCs w:val="20"/>
          <w:lang w:val="en-GB"/>
        </w:rPr>
        <w:t>Figure</w:t>
      </w:r>
      <w:r w:rsidRPr="00681DE7">
        <w:rPr>
          <w:rFonts w:ascii="Arial" w:hAnsi="Arial" w:cs="Arial"/>
          <w:bCs/>
          <w:iCs w:val="0"/>
          <w:color w:val="auto"/>
          <w:sz w:val="20"/>
          <w:szCs w:val="20"/>
          <w:lang w:val="en-GB"/>
        </w:rPr>
        <w:t xml:space="preserve"> </w:t>
      </w:r>
      <w:r>
        <w:rPr>
          <w:rFonts w:ascii="Arial" w:hAnsi="Arial" w:cs="Arial"/>
          <w:bCs/>
          <w:iCs w:val="0"/>
          <w:color w:val="auto"/>
          <w:sz w:val="20"/>
          <w:szCs w:val="20"/>
          <w:lang w:val="en-GB"/>
        </w:rPr>
        <w:t>3</w:t>
      </w:r>
      <w:r w:rsidRPr="00681DE7">
        <w:rPr>
          <w:rFonts w:ascii="Arial" w:hAnsi="Arial" w:cs="Arial"/>
          <w:bCs/>
          <w:iCs w:val="0"/>
          <w:color w:val="auto"/>
          <w:sz w:val="20"/>
          <w:szCs w:val="20"/>
          <w:lang w:val="en-GB"/>
        </w:rPr>
        <w:t xml:space="preserve">, </w:t>
      </w:r>
      <w:r w:rsidR="00BC42C7">
        <w:rPr>
          <w:rFonts w:ascii="Arial" w:hAnsi="Arial" w:cs="Arial"/>
          <w:bCs/>
          <w:iCs w:val="0"/>
          <w:color w:val="auto"/>
          <w:sz w:val="20"/>
          <w:szCs w:val="20"/>
          <w:lang w:val="en-GB"/>
        </w:rPr>
        <w:t>Nordic progress on SDG12</w:t>
      </w:r>
    </w:p>
    <w:p w14:paraId="7CEB8604" w14:textId="77777777" w:rsidR="00BC42C7" w:rsidRDefault="00845209" w:rsidP="006B1F86">
      <w:pPr>
        <w:spacing w:before="360" w:after="0" w:line="360" w:lineRule="auto"/>
        <w:jc w:val="both"/>
        <w:rPr>
          <w:rFonts w:ascii="Arial" w:hAnsi="Arial" w:cs="Arial"/>
          <w:sz w:val="24"/>
          <w:szCs w:val="24"/>
          <w:lang w:val="en-GB"/>
        </w:rPr>
      </w:pPr>
      <w:r>
        <w:rPr>
          <w:rFonts w:ascii="Arial" w:hAnsi="Arial" w:cs="Arial"/>
          <w:noProof/>
          <w:sz w:val="24"/>
          <w:szCs w:val="24"/>
          <w:lang w:val="en-GB"/>
        </w:rPr>
        <w:drawing>
          <wp:inline distT="0" distB="0" distL="0" distR="0" wp14:anchorId="4494A2C5" wp14:editId="5A2C7182">
            <wp:extent cx="2302137" cy="2302137"/>
            <wp:effectExtent l="0" t="0" r="3175" b="317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_INVERTED SDG goals_icons-individual-RGB-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265" cy="2311265"/>
                    </a:xfrm>
                    <a:prstGeom prst="rect">
                      <a:avLst/>
                    </a:prstGeom>
                  </pic:spPr>
                </pic:pic>
              </a:graphicData>
            </a:graphic>
          </wp:inline>
        </w:drawing>
      </w:r>
      <w:r>
        <w:rPr>
          <w:rFonts w:ascii="Arial" w:hAnsi="Arial" w:cs="Arial"/>
          <w:sz w:val="24"/>
          <w:szCs w:val="24"/>
          <w:lang w:val="en-GB"/>
        </w:rPr>
        <w:t xml:space="preserve">        </w:t>
      </w:r>
      <w:r w:rsidR="00E5598D">
        <w:rPr>
          <w:noProof/>
        </w:rPr>
        <w:drawing>
          <wp:inline distT="0" distB="0" distL="0" distR="0" wp14:anchorId="4A0D219E" wp14:editId="6E87D681">
            <wp:extent cx="2441986" cy="2218424"/>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1874" cy="2245576"/>
                    </a:xfrm>
                    <a:prstGeom prst="rect">
                      <a:avLst/>
                    </a:prstGeom>
                  </pic:spPr>
                </pic:pic>
              </a:graphicData>
            </a:graphic>
          </wp:inline>
        </w:drawing>
      </w:r>
      <w:r>
        <w:rPr>
          <w:rFonts w:ascii="Arial" w:hAnsi="Arial" w:cs="Arial"/>
          <w:sz w:val="24"/>
          <w:szCs w:val="24"/>
          <w:lang w:val="en-GB"/>
        </w:rPr>
        <w:t xml:space="preserve">   </w:t>
      </w:r>
    </w:p>
    <w:p w14:paraId="78B6E0F4" w14:textId="04138BEC" w:rsidR="00E5598D" w:rsidRPr="00681DE7" w:rsidRDefault="00845209" w:rsidP="006B1F86">
      <w:pPr>
        <w:spacing w:before="360" w:after="0" w:line="360" w:lineRule="auto"/>
        <w:jc w:val="both"/>
        <w:rPr>
          <w:rFonts w:ascii="Arial" w:hAnsi="Arial" w:cs="Arial"/>
          <w:sz w:val="24"/>
          <w:szCs w:val="24"/>
          <w:lang w:val="en-GB"/>
        </w:rPr>
      </w:pPr>
      <w:r>
        <w:rPr>
          <w:rFonts w:ascii="Arial" w:hAnsi="Arial" w:cs="Arial"/>
          <w:sz w:val="24"/>
          <w:szCs w:val="24"/>
          <w:lang w:val="en-GB"/>
        </w:rPr>
        <w:t xml:space="preserve">    </w:t>
      </w:r>
    </w:p>
    <w:p w14:paraId="4DBE74FF" w14:textId="1779CB87" w:rsidR="008C26D5" w:rsidRPr="00681DE7" w:rsidRDefault="008C26D5" w:rsidP="006B1F86">
      <w:pPr>
        <w:spacing w:before="360" w:after="0" w:line="360" w:lineRule="auto"/>
        <w:jc w:val="both"/>
        <w:rPr>
          <w:rFonts w:ascii="Arial" w:hAnsi="Arial" w:cs="Arial"/>
          <w:sz w:val="24"/>
          <w:szCs w:val="24"/>
          <w:lang w:val="en-GB"/>
        </w:rPr>
      </w:pPr>
      <w:r w:rsidRPr="00681DE7">
        <w:rPr>
          <w:rFonts w:ascii="Arial" w:hAnsi="Arial" w:cs="Arial"/>
          <w:sz w:val="24"/>
          <w:szCs w:val="24"/>
          <w:lang w:val="en-GB"/>
        </w:rPr>
        <w:lastRenderedPageBreak/>
        <w:t xml:space="preserve">For </w:t>
      </w:r>
      <w:r w:rsidR="00EB0CEB" w:rsidRPr="00681DE7">
        <w:rPr>
          <w:rFonts w:ascii="Arial" w:hAnsi="Arial" w:cs="Arial"/>
          <w:sz w:val="24"/>
          <w:szCs w:val="24"/>
          <w:lang w:val="en-GB"/>
        </w:rPr>
        <w:t xml:space="preserve">the UN-indicators in </w:t>
      </w:r>
      <w:r w:rsidRPr="00681DE7">
        <w:rPr>
          <w:rFonts w:ascii="Arial" w:hAnsi="Arial" w:cs="Arial"/>
          <w:sz w:val="24"/>
          <w:szCs w:val="24"/>
          <w:lang w:val="en-GB"/>
        </w:rPr>
        <w:t>SDG 12</w:t>
      </w:r>
      <w:r w:rsidR="007171F1">
        <w:rPr>
          <w:rFonts w:ascii="Arial" w:hAnsi="Arial" w:cs="Arial"/>
          <w:sz w:val="24"/>
          <w:szCs w:val="24"/>
          <w:lang w:val="en-GB"/>
        </w:rPr>
        <w:t>,</w:t>
      </w:r>
      <w:r w:rsidRPr="00681DE7">
        <w:rPr>
          <w:rFonts w:ascii="Arial" w:hAnsi="Arial" w:cs="Arial"/>
          <w:sz w:val="24"/>
          <w:szCs w:val="24"/>
          <w:lang w:val="en-GB"/>
        </w:rPr>
        <w:t xml:space="preserve"> there is unf</w:t>
      </w:r>
      <w:r w:rsidR="00BF48F2">
        <w:rPr>
          <w:rFonts w:ascii="Arial" w:hAnsi="Arial" w:cs="Arial"/>
          <w:sz w:val="24"/>
          <w:szCs w:val="24"/>
          <w:lang w:val="en-GB"/>
        </w:rPr>
        <w:t>ortunately not</w:t>
      </w:r>
      <w:r w:rsidR="004E128D" w:rsidRPr="00681DE7">
        <w:rPr>
          <w:rFonts w:ascii="Arial" w:hAnsi="Arial" w:cs="Arial"/>
          <w:sz w:val="24"/>
          <w:szCs w:val="24"/>
          <w:lang w:val="en-GB"/>
        </w:rPr>
        <w:t xml:space="preserve"> much data available. Hence,</w:t>
      </w:r>
      <w:r w:rsidR="00BF48F2">
        <w:rPr>
          <w:rFonts w:ascii="Arial" w:hAnsi="Arial" w:cs="Arial"/>
          <w:sz w:val="24"/>
          <w:szCs w:val="24"/>
          <w:lang w:val="en-GB"/>
        </w:rPr>
        <w:t xml:space="preserve"> at present</w:t>
      </w:r>
      <w:r w:rsidR="004E128D" w:rsidRPr="00681DE7">
        <w:rPr>
          <w:rFonts w:ascii="Arial" w:hAnsi="Arial" w:cs="Arial"/>
          <w:sz w:val="24"/>
          <w:szCs w:val="24"/>
          <w:lang w:val="en-GB"/>
        </w:rPr>
        <w:t xml:space="preserve"> it is difficult to use the specific indicators </w:t>
      </w:r>
      <w:r w:rsidR="00EB0CEB" w:rsidRPr="00681DE7">
        <w:rPr>
          <w:rFonts w:ascii="Arial" w:hAnsi="Arial" w:cs="Arial"/>
          <w:sz w:val="24"/>
          <w:szCs w:val="24"/>
          <w:lang w:val="en-GB"/>
        </w:rPr>
        <w:t>suggested in the Agenda</w:t>
      </w:r>
      <w:r w:rsidR="00BF48F2">
        <w:rPr>
          <w:rFonts w:ascii="Arial" w:hAnsi="Arial" w:cs="Arial"/>
          <w:sz w:val="24"/>
          <w:szCs w:val="24"/>
          <w:lang w:val="en-GB"/>
        </w:rPr>
        <w:t xml:space="preserve"> to monitor the progress on goal 12</w:t>
      </w:r>
      <w:r w:rsidR="00EB0CEB" w:rsidRPr="00681DE7">
        <w:rPr>
          <w:rFonts w:ascii="Arial" w:hAnsi="Arial" w:cs="Arial"/>
          <w:sz w:val="24"/>
          <w:szCs w:val="24"/>
          <w:lang w:val="en-GB"/>
        </w:rPr>
        <w:t xml:space="preserve">. </w:t>
      </w:r>
      <w:r w:rsidRPr="00681DE7">
        <w:rPr>
          <w:rFonts w:ascii="Arial" w:hAnsi="Arial" w:cs="Arial"/>
          <w:sz w:val="24"/>
          <w:szCs w:val="24"/>
          <w:lang w:val="en-GB"/>
        </w:rPr>
        <w:t xml:space="preserve">Many international organizations publish indicators </w:t>
      </w:r>
      <w:r w:rsidR="00EB0CEB" w:rsidRPr="00681DE7">
        <w:rPr>
          <w:rFonts w:ascii="Arial" w:hAnsi="Arial" w:cs="Arial"/>
          <w:sz w:val="24"/>
          <w:szCs w:val="24"/>
          <w:lang w:val="en-GB"/>
        </w:rPr>
        <w:t xml:space="preserve">in relation to </w:t>
      </w:r>
      <w:r w:rsidR="00C8694F">
        <w:rPr>
          <w:rFonts w:ascii="Arial" w:hAnsi="Arial" w:cs="Arial"/>
          <w:sz w:val="24"/>
          <w:szCs w:val="24"/>
          <w:lang w:val="en-GB"/>
        </w:rPr>
        <w:t>Agenda 2030. In table 2</w:t>
      </w:r>
      <w:r w:rsidRPr="00681DE7">
        <w:rPr>
          <w:rFonts w:ascii="Arial" w:hAnsi="Arial" w:cs="Arial"/>
          <w:sz w:val="24"/>
          <w:szCs w:val="24"/>
          <w:lang w:val="en-GB"/>
        </w:rPr>
        <w:t xml:space="preserve"> we compare the indicators used by</w:t>
      </w:r>
      <w:r w:rsidR="00606ADE">
        <w:rPr>
          <w:rFonts w:ascii="Arial" w:hAnsi="Arial" w:cs="Arial"/>
          <w:sz w:val="24"/>
          <w:szCs w:val="24"/>
          <w:lang w:val="en-GB"/>
        </w:rPr>
        <w:t>:</w:t>
      </w:r>
      <w:r w:rsidRPr="00681DE7">
        <w:rPr>
          <w:rFonts w:ascii="Arial" w:hAnsi="Arial" w:cs="Arial"/>
          <w:sz w:val="24"/>
          <w:szCs w:val="24"/>
          <w:lang w:val="en-GB"/>
        </w:rPr>
        <w:t xml:space="preserve"> </w:t>
      </w:r>
    </w:p>
    <w:p w14:paraId="1E9B269E" w14:textId="77777777" w:rsidR="008C26D5" w:rsidRPr="00681DE7" w:rsidRDefault="008C26D5" w:rsidP="008C26D5">
      <w:pPr>
        <w:pStyle w:val="Listeafsnit"/>
        <w:numPr>
          <w:ilvl w:val="0"/>
          <w:numId w:val="11"/>
        </w:numPr>
        <w:spacing w:before="360" w:after="0" w:line="360" w:lineRule="auto"/>
        <w:jc w:val="both"/>
        <w:rPr>
          <w:rFonts w:ascii="Arial" w:hAnsi="Arial" w:cs="Arial"/>
          <w:sz w:val="24"/>
          <w:szCs w:val="24"/>
          <w:lang w:val="en-GB"/>
        </w:rPr>
      </w:pPr>
      <w:r w:rsidRPr="00681DE7">
        <w:rPr>
          <w:rFonts w:ascii="Arial" w:hAnsi="Arial" w:cs="Arial"/>
          <w:sz w:val="24"/>
          <w:szCs w:val="24"/>
          <w:lang w:val="en-GB"/>
        </w:rPr>
        <w:t>UN</w:t>
      </w:r>
      <w:r w:rsidR="00C8694F">
        <w:rPr>
          <w:rFonts w:ascii="Arial" w:hAnsi="Arial" w:cs="Arial"/>
          <w:sz w:val="24"/>
          <w:szCs w:val="24"/>
          <w:lang w:val="en-GB"/>
        </w:rPr>
        <w:t>’</w:t>
      </w:r>
      <w:r w:rsidRPr="00681DE7">
        <w:rPr>
          <w:rFonts w:ascii="Arial" w:hAnsi="Arial" w:cs="Arial"/>
          <w:sz w:val="24"/>
          <w:szCs w:val="24"/>
          <w:lang w:val="en-GB"/>
        </w:rPr>
        <w:t xml:space="preserve">s indicators for SDG 12 </w:t>
      </w:r>
    </w:p>
    <w:p w14:paraId="412535EB" w14:textId="77777777" w:rsidR="008C26D5" w:rsidRPr="00681DE7" w:rsidRDefault="008C26D5" w:rsidP="008C26D5">
      <w:pPr>
        <w:pStyle w:val="Listeafsnit"/>
        <w:numPr>
          <w:ilvl w:val="0"/>
          <w:numId w:val="11"/>
        </w:numPr>
        <w:spacing w:before="360" w:after="0" w:line="360" w:lineRule="auto"/>
        <w:jc w:val="both"/>
        <w:rPr>
          <w:rFonts w:ascii="Arial" w:hAnsi="Arial" w:cs="Arial"/>
          <w:sz w:val="24"/>
          <w:szCs w:val="24"/>
          <w:lang w:val="en-GB"/>
        </w:rPr>
      </w:pPr>
      <w:r w:rsidRPr="00681DE7">
        <w:rPr>
          <w:rFonts w:ascii="Arial" w:hAnsi="Arial" w:cs="Arial"/>
          <w:sz w:val="24"/>
          <w:szCs w:val="24"/>
          <w:lang w:val="en-GB"/>
        </w:rPr>
        <w:t>Eurostat</w:t>
      </w:r>
      <w:r w:rsidR="00EB0CEB" w:rsidRPr="00681DE7">
        <w:rPr>
          <w:rFonts w:ascii="Arial" w:hAnsi="Arial" w:cs="Arial"/>
          <w:sz w:val="24"/>
          <w:szCs w:val="24"/>
          <w:lang w:val="en-GB"/>
        </w:rPr>
        <w:t>’</w:t>
      </w:r>
      <w:r w:rsidRPr="00681DE7">
        <w:rPr>
          <w:rFonts w:ascii="Arial" w:hAnsi="Arial" w:cs="Arial"/>
          <w:sz w:val="24"/>
          <w:szCs w:val="24"/>
          <w:lang w:val="en-GB"/>
        </w:rPr>
        <w:t xml:space="preserve">s indicators for SDG 12 </w:t>
      </w:r>
      <w:bookmarkStart w:id="4" w:name="_GoBack"/>
      <w:bookmarkEnd w:id="4"/>
    </w:p>
    <w:p w14:paraId="4B924CE4" w14:textId="77777777" w:rsidR="008C26D5" w:rsidRPr="00681DE7" w:rsidRDefault="008C26D5" w:rsidP="008C26D5">
      <w:pPr>
        <w:pStyle w:val="Listeafsnit"/>
        <w:numPr>
          <w:ilvl w:val="0"/>
          <w:numId w:val="11"/>
        </w:numPr>
        <w:spacing w:before="360" w:after="0" w:line="360" w:lineRule="auto"/>
        <w:jc w:val="both"/>
        <w:rPr>
          <w:rFonts w:ascii="Arial" w:hAnsi="Arial" w:cs="Arial"/>
          <w:sz w:val="24"/>
          <w:szCs w:val="24"/>
          <w:lang w:val="en-GB"/>
        </w:rPr>
      </w:pPr>
      <w:r w:rsidRPr="00681DE7">
        <w:rPr>
          <w:rFonts w:ascii="Arial" w:hAnsi="Arial" w:cs="Arial"/>
          <w:sz w:val="24"/>
          <w:szCs w:val="24"/>
          <w:lang w:val="en-GB"/>
        </w:rPr>
        <w:t>SDG index and dashboards report 2018</w:t>
      </w:r>
      <w:r w:rsidRPr="00681DE7">
        <w:rPr>
          <w:rStyle w:val="Fodnotehenvisning"/>
          <w:rFonts w:ascii="Arial" w:hAnsi="Arial" w:cs="Arial"/>
          <w:sz w:val="24"/>
          <w:szCs w:val="24"/>
          <w:lang w:val="en-GB"/>
        </w:rPr>
        <w:footnoteReference w:id="1"/>
      </w:r>
      <w:r w:rsidRPr="00681DE7">
        <w:rPr>
          <w:rFonts w:ascii="Arial" w:hAnsi="Arial" w:cs="Arial"/>
          <w:sz w:val="24"/>
          <w:szCs w:val="24"/>
          <w:lang w:val="en-GB"/>
        </w:rPr>
        <w:t xml:space="preserve"> </w:t>
      </w:r>
    </w:p>
    <w:p w14:paraId="469C9C79" w14:textId="77777777" w:rsidR="008C26D5" w:rsidRPr="00681DE7" w:rsidRDefault="008C26D5" w:rsidP="008C26D5">
      <w:pPr>
        <w:pStyle w:val="Listeafsnit"/>
        <w:numPr>
          <w:ilvl w:val="0"/>
          <w:numId w:val="11"/>
        </w:numPr>
        <w:spacing w:before="360" w:after="0" w:line="360" w:lineRule="auto"/>
        <w:jc w:val="both"/>
        <w:rPr>
          <w:rFonts w:ascii="Arial" w:hAnsi="Arial" w:cs="Arial"/>
          <w:sz w:val="24"/>
          <w:szCs w:val="24"/>
          <w:lang w:val="en-GB"/>
        </w:rPr>
      </w:pPr>
      <w:r w:rsidRPr="00681DE7">
        <w:rPr>
          <w:rFonts w:ascii="Arial" w:hAnsi="Arial" w:cs="Arial"/>
          <w:sz w:val="24"/>
          <w:szCs w:val="24"/>
          <w:lang w:val="en-GB"/>
        </w:rPr>
        <w:t>Atlas of Sustainable Development Goals 2018</w:t>
      </w:r>
      <w:r w:rsidRPr="00681DE7">
        <w:rPr>
          <w:rStyle w:val="Fodnotehenvisning"/>
          <w:rFonts w:ascii="Arial" w:hAnsi="Arial" w:cs="Arial"/>
          <w:sz w:val="24"/>
          <w:szCs w:val="24"/>
          <w:lang w:val="en-GB"/>
        </w:rPr>
        <w:footnoteReference w:id="2"/>
      </w:r>
    </w:p>
    <w:p w14:paraId="009AC843" w14:textId="5EDF6F3D" w:rsidR="00A77B04" w:rsidRPr="00681DE7" w:rsidRDefault="00ED0EFA" w:rsidP="00224C61">
      <w:pPr>
        <w:spacing w:before="360" w:after="0" w:line="360" w:lineRule="auto"/>
        <w:rPr>
          <w:rFonts w:ascii="Arial" w:hAnsi="Arial" w:cs="Arial"/>
          <w:i/>
          <w:sz w:val="24"/>
          <w:szCs w:val="24"/>
          <w:lang w:val="en-GB"/>
        </w:rPr>
      </w:pPr>
      <w:r w:rsidRPr="00681DE7">
        <w:rPr>
          <w:rFonts w:ascii="Arial" w:hAnsi="Arial" w:cs="Arial"/>
          <w:i/>
          <w:sz w:val="24"/>
          <w:szCs w:val="24"/>
          <w:lang w:val="en-GB"/>
        </w:rPr>
        <w:t xml:space="preserve">Table </w:t>
      </w:r>
      <w:r w:rsidR="00224C61">
        <w:rPr>
          <w:rFonts w:ascii="Arial" w:hAnsi="Arial" w:cs="Arial"/>
          <w:i/>
          <w:sz w:val="24"/>
          <w:szCs w:val="24"/>
          <w:lang w:val="en-GB"/>
        </w:rPr>
        <w:t>1</w:t>
      </w:r>
      <w:r w:rsidRPr="00681DE7">
        <w:rPr>
          <w:rFonts w:ascii="Arial" w:hAnsi="Arial" w:cs="Arial"/>
          <w:i/>
          <w:sz w:val="24"/>
          <w:szCs w:val="24"/>
          <w:lang w:val="en-GB"/>
        </w:rPr>
        <w:t xml:space="preserve">, Indicators used in international comparisons to monitor SDG12 </w:t>
      </w:r>
      <w:r w:rsidRPr="00681DE7">
        <w:rPr>
          <w:rFonts w:ascii="Arial" w:hAnsi="Arial" w:cs="Arial"/>
          <w:noProof/>
          <w:sz w:val="24"/>
          <w:szCs w:val="24"/>
          <w:lang w:val="sv-SE" w:eastAsia="sv-SE"/>
        </w:rPr>
        <w:drawing>
          <wp:inline distT="0" distB="0" distL="0" distR="0" wp14:anchorId="36FEF2DD" wp14:editId="41A56BA7">
            <wp:extent cx="6131859" cy="4947920"/>
            <wp:effectExtent l="0" t="0" r="2540" b="508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42770" cy="4956724"/>
                    </a:xfrm>
                    <a:prstGeom prst="rect">
                      <a:avLst/>
                    </a:prstGeom>
                  </pic:spPr>
                </pic:pic>
              </a:graphicData>
            </a:graphic>
          </wp:inline>
        </w:drawing>
      </w:r>
    </w:p>
    <w:p w14:paraId="4A893623" w14:textId="7F5BE9D1" w:rsidR="008652FB" w:rsidRPr="00681DE7" w:rsidRDefault="004E128D" w:rsidP="006B1F86">
      <w:pPr>
        <w:spacing w:before="360" w:after="0" w:line="360" w:lineRule="auto"/>
        <w:jc w:val="both"/>
        <w:rPr>
          <w:rFonts w:ascii="Arial" w:hAnsi="Arial" w:cs="Arial"/>
          <w:sz w:val="24"/>
          <w:szCs w:val="24"/>
          <w:lang w:val="en-GB"/>
        </w:rPr>
      </w:pPr>
      <w:r w:rsidRPr="00681DE7">
        <w:rPr>
          <w:rFonts w:ascii="Arial" w:hAnsi="Arial" w:cs="Arial"/>
          <w:sz w:val="24"/>
          <w:szCs w:val="24"/>
          <w:lang w:val="en-GB"/>
        </w:rPr>
        <w:lastRenderedPageBreak/>
        <w:t>Some of the indicators are similar</w:t>
      </w:r>
      <w:r w:rsidR="00EA5C6A">
        <w:rPr>
          <w:rFonts w:ascii="Arial" w:hAnsi="Arial" w:cs="Arial"/>
          <w:sz w:val="24"/>
          <w:szCs w:val="24"/>
          <w:lang w:val="en-GB"/>
        </w:rPr>
        <w:t>,</w:t>
      </w:r>
      <w:r w:rsidRPr="00681DE7">
        <w:rPr>
          <w:rFonts w:ascii="Arial" w:hAnsi="Arial" w:cs="Arial"/>
          <w:sz w:val="24"/>
          <w:szCs w:val="24"/>
          <w:lang w:val="en-GB"/>
        </w:rPr>
        <w:t xml:space="preserve"> but </w:t>
      </w:r>
      <w:r w:rsidR="00EB0CEB" w:rsidRPr="00681DE7">
        <w:rPr>
          <w:rFonts w:ascii="Arial" w:hAnsi="Arial" w:cs="Arial"/>
          <w:sz w:val="24"/>
          <w:szCs w:val="24"/>
          <w:lang w:val="en-GB"/>
        </w:rPr>
        <w:t>still</w:t>
      </w:r>
      <w:r w:rsidRPr="00681DE7">
        <w:rPr>
          <w:rFonts w:ascii="Arial" w:hAnsi="Arial" w:cs="Arial"/>
          <w:sz w:val="24"/>
          <w:szCs w:val="24"/>
          <w:lang w:val="en-GB"/>
        </w:rPr>
        <w:t xml:space="preserve"> there is a surprisingly low overlap between the indicators used</w:t>
      </w:r>
      <w:r w:rsidR="008C26D5" w:rsidRPr="00681DE7">
        <w:rPr>
          <w:rFonts w:ascii="Arial" w:hAnsi="Arial" w:cs="Arial"/>
          <w:sz w:val="24"/>
          <w:szCs w:val="24"/>
          <w:lang w:val="en-GB"/>
        </w:rPr>
        <w:t xml:space="preserve"> to monitor SDG 12</w:t>
      </w:r>
      <w:r w:rsidRPr="00681DE7">
        <w:rPr>
          <w:rFonts w:ascii="Arial" w:hAnsi="Arial" w:cs="Arial"/>
          <w:sz w:val="24"/>
          <w:szCs w:val="24"/>
          <w:lang w:val="en-GB"/>
        </w:rPr>
        <w:t xml:space="preserve">. </w:t>
      </w:r>
      <w:r w:rsidR="00C8694F">
        <w:rPr>
          <w:rFonts w:ascii="Arial" w:hAnsi="Arial" w:cs="Arial"/>
          <w:sz w:val="24"/>
          <w:szCs w:val="24"/>
          <w:lang w:val="en-GB"/>
        </w:rPr>
        <w:t>Hence, there is</w:t>
      </w:r>
      <w:r w:rsidR="00EA5C6A">
        <w:rPr>
          <w:rFonts w:ascii="Arial" w:hAnsi="Arial" w:cs="Arial"/>
          <w:sz w:val="24"/>
          <w:szCs w:val="24"/>
          <w:lang w:val="en-GB"/>
        </w:rPr>
        <w:t xml:space="preserve"> currently</w:t>
      </w:r>
      <w:r w:rsidR="00C8694F">
        <w:rPr>
          <w:rFonts w:ascii="Arial" w:hAnsi="Arial" w:cs="Arial"/>
          <w:sz w:val="24"/>
          <w:szCs w:val="24"/>
          <w:lang w:val="en-GB"/>
        </w:rPr>
        <w:t xml:space="preserve"> </w:t>
      </w:r>
      <w:r w:rsidR="00EA5C6A">
        <w:rPr>
          <w:rFonts w:ascii="Arial" w:hAnsi="Arial" w:cs="Arial"/>
          <w:sz w:val="24"/>
          <w:szCs w:val="24"/>
          <w:lang w:val="en-GB"/>
        </w:rPr>
        <w:t>little</w:t>
      </w:r>
      <w:r w:rsidR="00C8694F">
        <w:rPr>
          <w:rFonts w:ascii="Arial" w:hAnsi="Arial" w:cs="Arial"/>
          <w:sz w:val="24"/>
          <w:szCs w:val="24"/>
          <w:lang w:val="en-GB"/>
        </w:rPr>
        <w:t xml:space="preserve"> international agreement how to monitor the development in S</w:t>
      </w:r>
      <w:r w:rsidR="00F7503E">
        <w:rPr>
          <w:rFonts w:ascii="Arial" w:hAnsi="Arial" w:cs="Arial"/>
          <w:sz w:val="24"/>
          <w:szCs w:val="24"/>
          <w:lang w:val="en-GB"/>
        </w:rPr>
        <w:t>D</w:t>
      </w:r>
      <w:r w:rsidR="00C8694F">
        <w:rPr>
          <w:rFonts w:ascii="Arial" w:hAnsi="Arial" w:cs="Arial"/>
          <w:sz w:val="24"/>
          <w:szCs w:val="24"/>
          <w:lang w:val="en-GB"/>
        </w:rPr>
        <w:t xml:space="preserve">G 12. </w:t>
      </w:r>
    </w:p>
    <w:p w14:paraId="6912BB13" w14:textId="0F78E5D9" w:rsidR="00856D38" w:rsidRDefault="006F3B67" w:rsidP="001F02BC">
      <w:pPr>
        <w:spacing w:before="360" w:after="0" w:line="360" w:lineRule="auto"/>
        <w:jc w:val="both"/>
        <w:rPr>
          <w:rFonts w:ascii="Arial" w:hAnsi="Arial" w:cs="Arial"/>
          <w:sz w:val="24"/>
          <w:szCs w:val="24"/>
          <w:lang w:val="en-GB"/>
        </w:rPr>
      </w:pPr>
      <w:r w:rsidRPr="00681DE7">
        <w:rPr>
          <w:rFonts w:ascii="Arial" w:hAnsi="Arial" w:cs="Arial"/>
          <w:sz w:val="24"/>
          <w:szCs w:val="24"/>
          <w:lang w:val="en-GB"/>
        </w:rPr>
        <w:t xml:space="preserve">When a country or organization should develop indicators there is a question of how close these indicators </w:t>
      </w:r>
      <w:r w:rsidR="00F7503E">
        <w:rPr>
          <w:rFonts w:ascii="Arial" w:hAnsi="Arial" w:cs="Arial"/>
          <w:sz w:val="24"/>
          <w:szCs w:val="24"/>
          <w:lang w:val="en-GB"/>
        </w:rPr>
        <w:t xml:space="preserve">need to </w:t>
      </w:r>
      <w:r w:rsidRPr="00681DE7">
        <w:rPr>
          <w:rFonts w:ascii="Arial" w:hAnsi="Arial" w:cs="Arial"/>
          <w:sz w:val="24"/>
          <w:szCs w:val="24"/>
          <w:lang w:val="en-GB"/>
        </w:rPr>
        <w:t>be to the suggested UN-in</w:t>
      </w:r>
      <w:r w:rsidR="00C35A0E">
        <w:rPr>
          <w:rFonts w:ascii="Arial" w:hAnsi="Arial" w:cs="Arial"/>
          <w:sz w:val="24"/>
          <w:szCs w:val="24"/>
          <w:lang w:val="en-GB"/>
        </w:rPr>
        <w:t xml:space="preserve">dicators? </w:t>
      </w:r>
      <w:r w:rsidR="009B6941">
        <w:rPr>
          <w:rFonts w:ascii="Arial" w:hAnsi="Arial" w:cs="Arial"/>
          <w:sz w:val="24"/>
          <w:szCs w:val="24"/>
          <w:lang w:val="en-GB"/>
        </w:rPr>
        <w:t>An a</w:t>
      </w:r>
      <w:r w:rsidRPr="00681DE7">
        <w:rPr>
          <w:rFonts w:ascii="Arial" w:hAnsi="Arial" w:cs="Arial"/>
          <w:sz w:val="24"/>
          <w:szCs w:val="24"/>
          <w:lang w:val="en-GB"/>
        </w:rPr>
        <w:t xml:space="preserve">rgument for staying strict to the UN-definitions could </w:t>
      </w:r>
      <w:r w:rsidR="0026669F" w:rsidRPr="00681DE7">
        <w:rPr>
          <w:rFonts w:ascii="Arial" w:hAnsi="Arial" w:cs="Arial"/>
          <w:sz w:val="24"/>
          <w:szCs w:val="24"/>
          <w:lang w:val="en-GB"/>
        </w:rPr>
        <w:t>be that otherwise there is a risk to dimi</w:t>
      </w:r>
      <w:r w:rsidR="00EB0CEB" w:rsidRPr="00681DE7">
        <w:rPr>
          <w:rFonts w:ascii="Arial" w:hAnsi="Arial" w:cs="Arial"/>
          <w:sz w:val="24"/>
          <w:szCs w:val="24"/>
          <w:lang w:val="en-GB"/>
        </w:rPr>
        <w:t>ni</w:t>
      </w:r>
      <w:r w:rsidR="0026669F" w:rsidRPr="00681DE7">
        <w:rPr>
          <w:rFonts w:ascii="Arial" w:hAnsi="Arial" w:cs="Arial"/>
          <w:sz w:val="24"/>
          <w:szCs w:val="24"/>
          <w:lang w:val="en-GB"/>
        </w:rPr>
        <w:t>sh the i</w:t>
      </w:r>
      <w:r w:rsidR="00EB0CEB" w:rsidRPr="00681DE7">
        <w:rPr>
          <w:rFonts w:ascii="Arial" w:hAnsi="Arial" w:cs="Arial"/>
          <w:sz w:val="24"/>
          <w:szCs w:val="24"/>
          <w:lang w:val="en-GB"/>
        </w:rPr>
        <w:t>m</w:t>
      </w:r>
      <w:r w:rsidR="0026669F" w:rsidRPr="00681DE7">
        <w:rPr>
          <w:rFonts w:ascii="Arial" w:hAnsi="Arial" w:cs="Arial"/>
          <w:sz w:val="24"/>
          <w:szCs w:val="24"/>
          <w:lang w:val="en-GB"/>
        </w:rPr>
        <w:t>pact of Agenda 2030. If each country</w:t>
      </w:r>
      <w:r w:rsidR="0017224A">
        <w:rPr>
          <w:rFonts w:ascii="Arial" w:hAnsi="Arial" w:cs="Arial"/>
          <w:sz w:val="24"/>
          <w:szCs w:val="24"/>
          <w:lang w:val="en-GB"/>
        </w:rPr>
        <w:t>,</w:t>
      </w:r>
      <w:r w:rsidR="00EA5C6A">
        <w:rPr>
          <w:rFonts w:ascii="Arial" w:hAnsi="Arial" w:cs="Arial"/>
          <w:sz w:val="24"/>
          <w:szCs w:val="24"/>
          <w:lang w:val="en-GB"/>
        </w:rPr>
        <w:t xml:space="preserve"> in reality</w:t>
      </w:r>
      <w:r w:rsidR="00845209">
        <w:rPr>
          <w:rFonts w:ascii="Arial" w:hAnsi="Arial" w:cs="Arial"/>
          <w:sz w:val="24"/>
          <w:szCs w:val="24"/>
          <w:lang w:val="en-GB"/>
        </w:rPr>
        <w:t>,</w:t>
      </w:r>
      <w:r w:rsidR="0026669F" w:rsidRPr="00681DE7">
        <w:rPr>
          <w:rFonts w:ascii="Arial" w:hAnsi="Arial" w:cs="Arial"/>
          <w:sz w:val="24"/>
          <w:szCs w:val="24"/>
          <w:lang w:val="en-GB"/>
        </w:rPr>
        <w:t xml:space="preserve"> ha</w:t>
      </w:r>
      <w:r w:rsidR="00ED2F51">
        <w:rPr>
          <w:rFonts w:ascii="Arial" w:hAnsi="Arial" w:cs="Arial"/>
          <w:sz w:val="24"/>
          <w:szCs w:val="24"/>
          <w:lang w:val="en-GB"/>
        </w:rPr>
        <w:t>s</w:t>
      </w:r>
      <w:r w:rsidR="0026669F" w:rsidRPr="00681DE7">
        <w:rPr>
          <w:rFonts w:ascii="Arial" w:hAnsi="Arial" w:cs="Arial"/>
          <w:sz w:val="24"/>
          <w:szCs w:val="24"/>
          <w:lang w:val="en-GB"/>
        </w:rPr>
        <w:t xml:space="preserve"> </w:t>
      </w:r>
      <w:r w:rsidR="00EB0CEB" w:rsidRPr="00681DE7">
        <w:rPr>
          <w:rFonts w:ascii="Arial" w:hAnsi="Arial" w:cs="Arial"/>
          <w:sz w:val="24"/>
          <w:szCs w:val="24"/>
          <w:lang w:val="en-GB"/>
        </w:rPr>
        <w:t>its</w:t>
      </w:r>
      <w:r w:rsidR="0026669F" w:rsidRPr="00681DE7">
        <w:rPr>
          <w:rFonts w:ascii="Arial" w:hAnsi="Arial" w:cs="Arial"/>
          <w:sz w:val="24"/>
          <w:szCs w:val="24"/>
          <w:lang w:val="en-GB"/>
        </w:rPr>
        <w:t xml:space="preserve"> own indicators there is less </w:t>
      </w:r>
      <w:r w:rsidR="009B6941">
        <w:rPr>
          <w:rFonts w:ascii="Arial" w:hAnsi="Arial" w:cs="Arial"/>
          <w:sz w:val="24"/>
          <w:szCs w:val="24"/>
          <w:lang w:val="en-GB"/>
        </w:rPr>
        <w:t>opportunity</w:t>
      </w:r>
      <w:r w:rsidR="009B6941" w:rsidRPr="00681DE7">
        <w:rPr>
          <w:rFonts w:ascii="Arial" w:hAnsi="Arial" w:cs="Arial"/>
          <w:sz w:val="24"/>
          <w:szCs w:val="24"/>
          <w:lang w:val="en-GB"/>
        </w:rPr>
        <w:t xml:space="preserve"> </w:t>
      </w:r>
      <w:r w:rsidR="0026669F" w:rsidRPr="00681DE7">
        <w:rPr>
          <w:rFonts w:ascii="Arial" w:hAnsi="Arial" w:cs="Arial"/>
          <w:sz w:val="24"/>
          <w:szCs w:val="24"/>
          <w:lang w:val="en-GB"/>
        </w:rPr>
        <w:t>for comparison and there is a r</w:t>
      </w:r>
      <w:r w:rsidR="00EB0CEB" w:rsidRPr="00681DE7">
        <w:rPr>
          <w:rFonts w:ascii="Arial" w:hAnsi="Arial" w:cs="Arial"/>
          <w:sz w:val="24"/>
          <w:szCs w:val="24"/>
          <w:lang w:val="en-GB"/>
        </w:rPr>
        <w:t>i</w:t>
      </w:r>
      <w:r w:rsidR="0026669F" w:rsidRPr="00681DE7">
        <w:rPr>
          <w:rFonts w:ascii="Arial" w:hAnsi="Arial" w:cs="Arial"/>
          <w:sz w:val="24"/>
          <w:szCs w:val="24"/>
          <w:lang w:val="en-GB"/>
        </w:rPr>
        <w:t xml:space="preserve">sk of </w:t>
      </w:r>
      <w:r w:rsidR="0075265D" w:rsidRPr="00681DE7">
        <w:rPr>
          <w:rFonts w:ascii="Arial" w:hAnsi="Arial" w:cs="Arial"/>
          <w:sz w:val="24"/>
          <w:szCs w:val="24"/>
          <w:lang w:val="en-GB"/>
        </w:rPr>
        <w:t>choosing</w:t>
      </w:r>
      <w:r w:rsidR="0026669F" w:rsidRPr="00681DE7">
        <w:rPr>
          <w:rFonts w:ascii="Arial" w:hAnsi="Arial" w:cs="Arial"/>
          <w:sz w:val="24"/>
          <w:szCs w:val="24"/>
          <w:lang w:val="en-GB"/>
        </w:rPr>
        <w:t xml:space="preserve"> indicators for a specific purpose. </w:t>
      </w:r>
      <w:r w:rsidR="00A31505">
        <w:rPr>
          <w:rFonts w:ascii="Arial" w:hAnsi="Arial" w:cs="Arial"/>
          <w:noProof/>
          <w:sz w:val="24"/>
          <w:szCs w:val="24"/>
          <w:lang w:val="en-GB"/>
        </w:rPr>
        <w:drawing>
          <wp:inline distT="0" distB="0" distL="0" distR="0" wp14:anchorId="456136D4" wp14:editId="4BAD5BFF">
            <wp:extent cx="5335270" cy="2747869"/>
            <wp:effectExtent l="381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473EEA4" w14:textId="457F65B4" w:rsidR="001F02BC" w:rsidRPr="001F02BC" w:rsidRDefault="001F02BC" w:rsidP="001F02BC">
      <w:pPr>
        <w:spacing w:before="360" w:after="0" w:line="360" w:lineRule="auto"/>
        <w:jc w:val="both"/>
        <w:rPr>
          <w:rFonts w:ascii="Arial" w:hAnsi="Arial" w:cs="Arial"/>
          <w:sz w:val="24"/>
          <w:szCs w:val="24"/>
          <w:lang w:val="en-GB"/>
        </w:rPr>
      </w:pPr>
      <w:r w:rsidRPr="001F02BC">
        <w:rPr>
          <w:rFonts w:ascii="Arial" w:hAnsi="Arial" w:cs="Arial"/>
          <w:sz w:val="24"/>
          <w:szCs w:val="24"/>
          <w:lang w:val="en-GB"/>
        </w:rPr>
        <w:t xml:space="preserve">Examples of </w:t>
      </w:r>
      <w:r>
        <w:rPr>
          <w:rFonts w:ascii="Arial" w:hAnsi="Arial" w:cs="Arial"/>
          <w:sz w:val="24"/>
          <w:szCs w:val="24"/>
          <w:lang w:val="en-GB"/>
        </w:rPr>
        <w:t>indicators</w:t>
      </w:r>
      <w:r w:rsidRPr="001F02BC">
        <w:rPr>
          <w:rFonts w:ascii="Arial" w:hAnsi="Arial" w:cs="Arial"/>
          <w:sz w:val="24"/>
          <w:szCs w:val="24"/>
          <w:lang w:val="en-GB"/>
        </w:rPr>
        <w:t xml:space="preserve"> to the left are, of course, UN's own </w:t>
      </w:r>
      <w:r>
        <w:rPr>
          <w:rFonts w:ascii="Arial" w:hAnsi="Arial" w:cs="Arial"/>
          <w:sz w:val="24"/>
          <w:szCs w:val="24"/>
          <w:lang w:val="en-GB"/>
        </w:rPr>
        <w:t>i</w:t>
      </w:r>
      <w:r w:rsidRPr="001F02BC">
        <w:rPr>
          <w:rFonts w:ascii="Arial" w:hAnsi="Arial" w:cs="Arial"/>
          <w:sz w:val="24"/>
          <w:szCs w:val="24"/>
          <w:lang w:val="en-GB"/>
        </w:rPr>
        <w:t xml:space="preserve">ndicators. Another example is </w:t>
      </w:r>
      <w:r w:rsidR="00A31505">
        <w:rPr>
          <w:rFonts w:ascii="Arial" w:hAnsi="Arial" w:cs="Arial"/>
          <w:sz w:val="24"/>
          <w:szCs w:val="24"/>
          <w:lang w:val="en-GB"/>
        </w:rPr>
        <w:t>the indicators published on Statistics Denmarks’s SDG portal,</w:t>
      </w:r>
      <w:r w:rsidRPr="001F02BC">
        <w:rPr>
          <w:rFonts w:ascii="Arial" w:hAnsi="Arial" w:cs="Arial"/>
          <w:sz w:val="24"/>
          <w:szCs w:val="24"/>
          <w:lang w:val="en-GB"/>
        </w:rPr>
        <w:t xml:space="preserve"> </w:t>
      </w:r>
      <w:r>
        <w:rPr>
          <w:rFonts w:ascii="Arial" w:hAnsi="Arial" w:cs="Arial"/>
          <w:sz w:val="24"/>
          <w:szCs w:val="24"/>
          <w:lang w:val="en-GB"/>
        </w:rPr>
        <w:t xml:space="preserve">which are </w:t>
      </w:r>
      <w:r w:rsidRPr="001F02BC">
        <w:rPr>
          <w:rFonts w:ascii="Arial" w:hAnsi="Arial" w:cs="Arial"/>
          <w:sz w:val="24"/>
          <w:szCs w:val="24"/>
          <w:lang w:val="en-GB"/>
        </w:rPr>
        <w:t xml:space="preserve">in line with UN definitions. </w:t>
      </w:r>
      <w:r w:rsidR="00A31505">
        <w:rPr>
          <w:rFonts w:ascii="Arial" w:hAnsi="Arial" w:cs="Arial"/>
          <w:sz w:val="24"/>
          <w:szCs w:val="24"/>
          <w:lang w:val="en-GB"/>
        </w:rPr>
        <w:t>On the other side of the spectrum</w:t>
      </w:r>
      <w:r w:rsidR="009A6A13">
        <w:rPr>
          <w:rFonts w:ascii="Arial" w:hAnsi="Arial" w:cs="Arial"/>
          <w:sz w:val="24"/>
          <w:szCs w:val="24"/>
          <w:lang w:val="en-GB"/>
        </w:rPr>
        <w:t>,</w:t>
      </w:r>
      <w:r w:rsidR="00A31505">
        <w:rPr>
          <w:rFonts w:ascii="Arial" w:hAnsi="Arial" w:cs="Arial"/>
          <w:sz w:val="24"/>
          <w:szCs w:val="24"/>
          <w:lang w:val="en-GB"/>
        </w:rPr>
        <w:t xml:space="preserve"> </w:t>
      </w:r>
      <w:r w:rsidRPr="001F02BC">
        <w:rPr>
          <w:rFonts w:ascii="Arial" w:hAnsi="Arial" w:cs="Arial"/>
          <w:sz w:val="24"/>
          <w:szCs w:val="24"/>
          <w:lang w:val="en-GB"/>
        </w:rPr>
        <w:t>Finland states that in the long term they will publish so-called "proxies"</w:t>
      </w:r>
      <w:r w:rsidR="00A31505">
        <w:rPr>
          <w:rFonts w:ascii="Arial" w:hAnsi="Arial" w:cs="Arial"/>
          <w:sz w:val="24"/>
          <w:szCs w:val="24"/>
          <w:lang w:val="en-GB"/>
        </w:rPr>
        <w:t>,</w:t>
      </w:r>
      <w:r w:rsidRPr="001F02BC">
        <w:rPr>
          <w:rFonts w:ascii="Arial" w:hAnsi="Arial" w:cs="Arial"/>
          <w:sz w:val="24"/>
          <w:szCs w:val="24"/>
          <w:lang w:val="en-GB"/>
        </w:rPr>
        <w:t xml:space="preserve"> where they </w:t>
      </w:r>
      <w:r w:rsidR="00A31505">
        <w:rPr>
          <w:rFonts w:ascii="Arial" w:hAnsi="Arial" w:cs="Arial"/>
          <w:sz w:val="24"/>
          <w:szCs w:val="24"/>
          <w:lang w:val="en-GB"/>
        </w:rPr>
        <w:t>will produce</w:t>
      </w:r>
      <w:r w:rsidRPr="001F02BC">
        <w:rPr>
          <w:rFonts w:ascii="Arial" w:hAnsi="Arial" w:cs="Arial"/>
          <w:sz w:val="24"/>
          <w:szCs w:val="24"/>
          <w:lang w:val="en-GB"/>
        </w:rPr>
        <w:t xml:space="preserve"> indicators that can be assumed to be close to those specified by the UN</w:t>
      </w:r>
      <w:r w:rsidR="009A6A13">
        <w:rPr>
          <w:rFonts w:ascii="Arial" w:hAnsi="Arial" w:cs="Arial"/>
          <w:sz w:val="24"/>
          <w:szCs w:val="24"/>
          <w:lang w:val="en-GB"/>
        </w:rPr>
        <w:t>, but not identical</w:t>
      </w:r>
      <w:r w:rsidRPr="001F02BC">
        <w:rPr>
          <w:rFonts w:ascii="Arial" w:hAnsi="Arial" w:cs="Arial"/>
          <w:sz w:val="24"/>
          <w:szCs w:val="24"/>
          <w:lang w:val="en-GB"/>
        </w:rPr>
        <w:t xml:space="preserve">. Sweden has in SCB's report </w:t>
      </w:r>
      <w:r w:rsidRPr="00FB2A46">
        <w:rPr>
          <w:rFonts w:ascii="Arial" w:hAnsi="Arial" w:cs="Arial"/>
          <w:sz w:val="24"/>
          <w:szCs w:val="24"/>
          <w:lang w:val="en-GB"/>
        </w:rPr>
        <w:t xml:space="preserve">SCB </w:t>
      </w:r>
      <w:r w:rsidR="00FB2A46">
        <w:rPr>
          <w:rFonts w:ascii="Arial" w:hAnsi="Arial" w:cs="Arial"/>
          <w:sz w:val="24"/>
          <w:szCs w:val="24"/>
          <w:lang w:val="en-GB"/>
        </w:rPr>
        <w:t>(</w:t>
      </w:r>
      <w:r w:rsidRPr="00FB2A46">
        <w:rPr>
          <w:rFonts w:ascii="Arial" w:hAnsi="Arial" w:cs="Arial"/>
          <w:sz w:val="24"/>
          <w:szCs w:val="24"/>
          <w:lang w:val="en-GB"/>
        </w:rPr>
        <w:t>2017)</w:t>
      </w:r>
      <w:r w:rsidRPr="00A31505">
        <w:rPr>
          <w:rFonts w:ascii="Arial" w:hAnsi="Arial" w:cs="Arial"/>
          <w:color w:val="FF0000"/>
          <w:sz w:val="24"/>
          <w:szCs w:val="24"/>
          <w:lang w:val="en-GB"/>
        </w:rPr>
        <w:t xml:space="preserve"> </w:t>
      </w:r>
      <w:r w:rsidRPr="001F02BC">
        <w:rPr>
          <w:rFonts w:ascii="Arial" w:hAnsi="Arial" w:cs="Arial"/>
          <w:sz w:val="24"/>
          <w:szCs w:val="24"/>
          <w:lang w:val="en-GB"/>
        </w:rPr>
        <w:t>also proposed a set of indicators that are not identical to the UN's but can be assumed to be reasonably close.</w:t>
      </w:r>
    </w:p>
    <w:p w14:paraId="5C893715" w14:textId="02BCE767" w:rsidR="009A6A13" w:rsidRPr="006E78C0" w:rsidRDefault="009B6941" w:rsidP="009A6A13">
      <w:pPr>
        <w:spacing w:before="360" w:after="0" w:line="360" w:lineRule="auto"/>
        <w:jc w:val="both"/>
        <w:rPr>
          <w:rFonts w:ascii="Arial" w:hAnsi="Arial" w:cs="Arial"/>
          <w:sz w:val="24"/>
          <w:szCs w:val="24"/>
          <w:lang w:val="en-GB"/>
        </w:rPr>
      </w:pPr>
      <w:r>
        <w:rPr>
          <w:rFonts w:ascii="Arial" w:hAnsi="Arial" w:cs="Arial"/>
          <w:sz w:val="24"/>
          <w:szCs w:val="24"/>
          <w:lang w:val="en-GB"/>
        </w:rPr>
        <w:t>Thus, t</w:t>
      </w:r>
      <w:r w:rsidR="001F02BC" w:rsidRPr="001F02BC">
        <w:rPr>
          <w:rFonts w:ascii="Arial" w:hAnsi="Arial" w:cs="Arial"/>
          <w:sz w:val="24"/>
          <w:szCs w:val="24"/>
          <w:lang w:val="en-GB"/>
        </w:rPr>
        <w:t>he proposed national follow-up is relatively tightly linked to the agenda's sub-goals. Of course, there are important areas and challenges that relate more or less clearly to the agenda. However, to relate the national follow-up to the main target level would require considerably more trade-offs in terms of r</w:t>
      </w:r>
      <w:r w:rsidR="008F612B">
        <w:rPr>
          <w:rFonts w:ascii="Arial" w:hAnsi="Arial" w:cs="Arial"/>
          <w:sz w:val="24"/>
          <w:szCs w:val="24"/>
          <w:lang w:val="en-GB"/>
        </w:rPr>
        <w:t>elevance</w:t>
      </w:r>
      <w:r w:rsidR="006E78C0">
        <w:rPr>
          <w:rFonts w:ascii="Arial" w:hAnsi="Arial" w:cs="Arial"/>
          <w:sz w:val="24"/>
          <w:szCs w:val="24"/>
          <w:lang w:val="en-GB"/>
        </w:rPr>
        <w:t xml:space="preserve"> </w:t>
      </w:r>
      <w:r w:rsidR="009A6A13" w:rsidRPr="006E78C0">
        <w:rPr>
          <w:rFonts w:ascii="Arial" w:hAnsi="Arial" w:cs="Arial"/>
          <w:sz w:val="24"/>
          <w:szCs w:val="24"/>
          <w:lang w:val="en-GB"/>
        </w:rPr>
        <w:t xml:space="preserve">SCB </w:t>
      </w:r>
      <w:r w:rsidR="006E78C0">
        <w:rPr>
          <w:rFonts w:ascii="Arial" w:hAnsi="Arial" w:cs="Arial"/>
          <w:sz w:val="24"/>
          <w:szCs w:val="24"/>
          <w:lang w:val="en-GB"/>
        </w:rPr>
        <w:t>(</w:t>
      </w:r>
      <w:r w:rsidR="009A6A13" w:rsidRPr="006E78C0">
        <w:rPr>
          <w:rFonts w:ascii="Arial" w:hAnsi="Arial" w:cs="Arial"/>
          <w:sz w:val="24"/>
          <w:szCs w:val="24"/>
          <w:lang w:val="en-GB"/>
        </w:rPr>
        <w:t>2017</w:t>
      </w:r>
      <w:r w:rsidR="006E78C0">
        <w:rPr>
          <w:rFonts w:ascii="Arial" w:hAnsi="Arial" w:cs="Arial"/>
          <w:sz w:val="24"/>
          <w:szCs w:val="24"/>
          <w:lang w:val="en-GB"/>
        </w:rPr>
        <w:t>).</w:t>
      </w:r>
    </w:p>
    <w:p w14:paraId="7B505A38" w14:textId="216AD813" w:rsidR="0017224A" w:rsidRPr="00681DE7" w:rsidRDefault="001F02BC" w:rsidP="001F02BC">
      <w:pPr>
        <w:spacing w:before="360" w:after="0" w:line="360" w:lineRule="auto"/>
        <w:jc w:val="both"/>
        <w:rPr>
          <w:rFonts w:ascii="Arial" w:hAnsi="Arial" w:cs="Arial"/>
          <w:sz w:val="24"/>
          <w:szCs w:val="24"/>
          <w:lang w:val="en-GB"/>
        </w:rPr>
      </w:pPr>
      <w:r w:rsidRPr="001F02BC">
        <w:rPr>
          <w:rFonts w:ascii="Arial" w:hAnsi="Arial" w:cs="Arial"/>
          <w:sz w:val="24"/>
          <w:szCs w:val="24"/>
          <w:lang w:val="en-GB"/>
        </w:rPr>
        <w:lastRenderedPageBreak/>
        <w:t xml:space="preserve">There are shared opinions on the benefits of making a freer interpretation of the UN's goals and choice of indicators when a country is to produce its own indicators. One advantage is that the indicators can be more relevant and specific to a </w:t>
      </w:r>
      <w:r w:rsidR="005E1790" w:rsidRPr="001F02BC">
        <w:rPr>
          <w:rFonts w:ascii="Arial" w:hAnsi="Arial" w:cs="Arial"/>
          <w:sz w:val="24"/>
          <w:szCs w:val="24"/>
          <w:lang w:val="en-GB"/>
        </w:rPr>
        <w:t>country’s</w:t>
      </w:r>
      <w:r w:rsidRPr="001F02BC">
        <w:rPr>
          <w:rFonts w:ascii="Arial" w:hAnsi="Arial" w:cs="Arial"/>
          <w:sz w:val="24"/>
          <w:szCs w:val="24"/>
          <w:lang w:val="en-GB"/>
        </w:rPr>
        <w:t xml:space="preserve"> special conditions. One disadvantage, on the other hand, is that there is a risk of "watering down" the agenda if each country chooses its own definitions and own indicators.</w:t>
      </w:r>
      <w:r w:rsidR="009B6941">
        <w:rPr>
          <w:rFonts w:ascii="Arial" w:hAnsi="Arial" w:cs="Arial"/>
          <w:sz w:val="24"/>
          <w:szCs w:val="24"/>
          <w:lang w:val="en-GB"/>
        </w:rPr>
        <w:t xml:space="preserve"> </w:t>
      </w:r>
      <w:r w:rsidRPr="001F02BC">
        <w:rPr>
          <w:rFonts w:ascii="Arial" w:hAnsi="Arial" w:cs="Arial"/>
          <w:sz w:val="24"/>
          <w:szCs w:val="24"/>
          <w:lang w:val="en-GB"/>
        </w:rPr>
        <w:t>As an example of an indicator set further to the right, Eurostat indicators are linked to Agenda 2030. For each of the 17 target areas, Eurostat has selected 5-6 indicators</w:t>
      </w:r>
      <w:r w:rsidR="00856D38">
        <w:rPr>
          <w:rFonts w:ascii="Arial" w:hAnsi="Arial" w:cs="Arial"/>
          <w:sz w:val="24"/>
          <w:szCs w:val="24"/>
          <w:lang w:val="en-GB"/>
        </w:rPr>
        <w:t xml:space="preserve"> – and s</w:t>
      </w:r>
      <w:r w:rsidRPr="001F02BC">
        <w:rPr>
          <w:rFonts w:ascii="Arial" w:hAnsi="Arial" w:cs="Arial"/>
          <w:sz w:val="24"/>
          <w:szCs w:val="24"/>
          <w:lang w:val="en-GB"/>
        </w:rPr>
        <w:t>ome indicators fit into several different goals. A total of 5-12 indicators are listed for each target. Many of these indicators differ from the indicators selected by the UN. However, they have a certain connection to the UN's overall objectives. Eurostat calls its indicators "SDGs in an EU context".</w:t>
      </w:r>
    </w:p>
    <w:p w14:paraId="52D67E0F" w14:textId="65B3B8EA" w:rsidR="0026669F" w:rsidRPr="00681DE7" w:rsidRDefault="0026669F" w:rsidP="006B1F86">
      <w:pPr>
        <w:spacing w:before="360" w:after="0" w:line="360" w:lineRule="auto"/>
        <w:jc w:val="both"/>
        <w:rPr>
          <w:rFonts w:ascii="Arial" w:hAnsi="Arial" w:cs="Arial"/>
          <w:sz w:val="24"/>
          <w:szCs w:val="24"/>
          <w:lang w:val="en-GB"/>
        </w:rPr>
      </w:pPr>
      <w:r w:rsidRPr="00681DE7">
        <w:rPr>
          <w:rFonts w:ascii="Arial" w:hAnsi="Arial" w:cs="Arial"/>
          <w:sz w:val="24"/>
          <w:szCs w:val="24"/>
          <w:lang w:val="en-GB"/>
        </w:rPr>
        <w:t xml:space="preserve">An argument for not </w:t>
      </w:r>
      <w:r w:rsidR="0075265D" w:rsidRPr="00681DE7">
        <w:rPr>
          <w:rFonts w:ascii="Arial" w:hAnsi="Arial" w:cs="Arial"/>
          <w:sz w:val="24"/>
          <w:szCs w:val="24"/>
          <w:lang w:val="en-GB"/>
        </w:rPr>
        <w:t>adhering</w:t>
      </w:r>
      <w:r w:rsidRPr="00681DE7">
        <w:rPr>
          <w:rFonts w:ascii="Arial" w:hAnsi="Arial" w:cs="Arial"/>
          <w:sz w:val="24"/>
          <w:szCs w:val="24"/>
          <w:lang w:val="en-GB"/>
        </w:rPr>
        <w:t xml:space="preserve"> so strict to the </w:t>
      </w:r>
      <w:r w:rsidR="008652FB" w:rsidRPr="00681DE7">
        <w:rPr>
          <w:rFonts w:ascii="Arial" w:hAnsi="Arial" w:cs="Arial"/>
          <w:sz w:val="24"/>
          <w:szCs w:val="24"/>
          <w:lang w:val="en-GB"/>
        </w:rPr>
        <w:t>o</w:t>
      </w:r>
      <w:r w:rsidRPr="00681DE7">
        <w:rPr>
          <w:rFonts w:ascii="Arial" w:hAnsi="Arial" w:cs="Arial"/>
          <w:sz w:val="24"/>
          <w:szCs w:val="24"/>
          <w:lang w:val="en-GB"/>
        </w:rPr>
        <w:t xml:space="preserve">riginal definitions is </w:t>
      </w:r>
      <w:r w:rsidR="00824459">
        <w:rPr>
          <w:rFonts w:ascii="Arial" w:hAnsi="Arial" w:cs="Arial"/>
          <w:sz w:val="24"/>
          <w:szCs w:val="24"/>
          <w:lang w:val="en-GB"/>
        </w:rPr>
        <w:t>a better availability of data</w:t>
      </w:r>
      <w:r w:rsidRPr="00681DE7">
        <w:rPr>
          <w:rFonts w:ascii="Arial" w:hAnsi="Arial" w:cs="Arial"/>
          <w:sz w:val="24"/>
          <w:szCs w:val="24"/>
          <w:lang w:val="en-GB"/>
        </w:rPr>
        <w:t xml:space="preserve"> and the </w:t>
      </w:r>
      <w:r w:rsidR="00824459">
        <w:rPr>
          <w:rFonts w:ascii="Arial" w:hAnsi="Arial" w:cs="Arial"/>
          <w:sz w:val="24"/>
          <w:szCs w:val="24"/>
          <w:lang w:val="en-GB"/>
        </w:rPr>
        <w:t xml:space="preserve">possibilities of </w:t>
      </w:r>
      <w:r w:rsidRPr="00681DE7">
        <w:rPr>
          <w:rFonts w:ascii="Arial" w:hAnsi="Arial" w:cs="Arial"/>
          <w:sz w:val="24"/>
          <w:szCs w:val="24"/>
          <w:lang w:val="en-GB"/>
        </w:rPr>
        <w:t>indicators monitor</w:t>
      </w:r>
      <w:r w:rsidR="00824459">
        <w:rPr>
          <w:rFonts w:ascii="Arial" w:hAnsi="Arial" w:cs="Arial"/>
          <w:sz w:val="24"/>
          <w:szCs w:val="24"/>
          <w:lang w:val="en-GB"/>
        </w:rPr>
        <w:t>ing</w:t>
      </w:r>
      <w:r w:rsidRPr="00681DE7">
        <w:rPr>
          <w:rFonts w:ascii="Arial" w:hAnsi="Arial" w:cs="Arial"/>
          <w:sz w:val="24"/>
          <w:szCs w:val="24"/>
          <w:lang w:val="en-GB"/>
        </w:rPr>
        <w:t xml:space="preserve"> more country-specific areas that might not be adequately covered by the UN-indicators. </w:t>
      </w:r>
    </w:p>
    <w:p w14:paraId="13C4968D" w14:textId="5B06A225" w:rsidR="008652FB" w:rsidRPr="00681DE7" w:rsidRDefault="008652FB" w:rsidP="008652FB">
      <w:pPr>
        <w:spacing w:before="360" w:after="0" w:line="360" w:lineRule="auto"/>
        <w:jc w:val="both"/>
        <w:rPr>
          <w:rFonts w:ascii="Arial" w:hAnsi="Arial" w:cs="Arial"/>
          <w:i/>
          <w:sz w:val="24"/>
          <w:szCs w:val="24"/>
          <w:lang w:val="en-GB"/>
        </w:rPr>
      </w:pPr>
      <w:r w:rsidRPr="00681DE7">
        <w:rPr>
          <w:rFonts w:ascii="Arial" w:hAnsi="Arial" w:cs="Arial"/>
          <w:sz w:val="24"/>
          <w:szCs w:val="24"/>
          <w:lang w:val="en-GB"/>
        </w:rPr>
        <w:t xml:space="preserve">The Nordic countries do have different </w:t>
      </w:r>
      <w:r w:rsidR="00824459">
        <w:rPr>
          <w:rFonts w:ascii="Arial" w:hAnsi="Arial" w:cs="Arial"/>
          <w:sz w:val="24"/>
          <w:szCs w:val="24"/>
          <w:lang w:val="en-GB"/>
        </w:rPr>
        <w:t>approaches to,</w:t>
      </w:r>
      <w:r w:rsidRPr="00681DE7">
        <w:rPr>
          <w:rFonts w:ascii="Arial" w:hAnsi="Arial" w:cs="Arial"/>
          <w:sz w:val="24"/>
          <w:szCs w:val="24"/>
          <w:lang w:val="en-GB"/>
        </w:rPr>
        <w:t xml:space="preserve"> how close to the Agenda indicators need to be. Some prefer to publish indicators if they exactly </w:t>
      </w:r>
      <w:r w:rsidR="0075265D" w:rsidRPr="00681DE7">
        <w:rPr>
          <w:rFonts w:ascii="Arial" w:hAnsi="Arial" w:cs="Arial"/>
          <w:sz w:val="24"/>
          <w:szCs w:val="24"/>
          <w:lang w:val="en-GB"/>
        </w:rPr>
        <w:t>correspond</w:t>
      </w:r>
      <w:r w:rsidRPr="00681DE7">
        <w:rPr>
          <w:rFonts w:ascii="Arial" w:hAnsi="Arial" w:cs="Arial"/>
          <w:sz w:val="24"/>
          <w:szCs w:val="24"/>
          <w:lang w:val="en-GB"/>
        </w:rPr>
        <w:t xml:space="preserve"> to the definition provided by UN while other countries have a more liberal approach. </w:t>
      </w:r>
    </w:p>
    <w:p w14:paraId="2512D2E7" w14:textId="77777777" w:rsidR="009A6A13" w:rsidRPr="00681DE7" w:rsidRDefault="009A6A13" w:rsidP="009A6A13">
      <w:pPr>
        <w:spacing w:before="360" w:after="0" w:line="360" w:lineRule="auto"/>
        <w:jc w:val="both"/>
        <w:rPr>
          <w:rFonts w:ascii="Arial" w:hAnsi="Arial" w:cs="Arial"/>
          <w:sz w:val="24"/>
          <w:szCs w:val="24"/>
          <w:lang w:val="en-GB"/>
        </w:rPr>
      </w:pPr>
      <w:r w:rsidRPr="00681DE7">
        <w:rPr>
          <w:rFonts w:ascii="Arial" w:hAnsi="Arial" w:cs="Arial"/>
          <w:sz w:val="24"/>
          <w:szCs w:val="24"/>
          <w:lang w:val="en-GB"/>
        </w:rPr>
        <w:t xml:space="preserve">As could be seen in </w:t>
      </w:r>
      <w:r w:rsidRPr="00224C61">
        <w:rPr>
          <w:rFonts w:ascii="Arial" w:hAnsi="Arial" w:cs="Arial"/>
          <w:sz w:val="24"/>
          <w:szCs w:val="24"/>
          <w:lang w:val="en-GB"/>
        </w:rPr>
        <w:t>table 2</w:t>
      </w:r>
      <w:r w:rsidRPr="009A6A13">
        <w:rPr>
          <w:rFonts w:ascii="Arial" w:hAnsi="Arial" w:cs="Arial"/>
          <w:color w:val="FF0000"/>
          <w:sz w:val="24"/>
          <w:szCs w:val="24"/>
          <w:lang w:val="en-GB"/>
        </w:rPr>
        <w:t xml:space="preserve"> </w:t>
      </w:r>
      <w:r w:rsidRPr="00681DE7">
        <w:rPr>
          <w:rFonts w:ascii="Arial" w:hAnsi="Arial" w:cs="Arial"/>
          <w:sz w:val="24"/>
          <w:szCs w:val="24"/>
          <w:lang w:val="en-GB"/>
        </w:rPr>
        <w:t xml:space="preserve">there is already a </w:t>
      </w:r>
      <w:r>
        <w:rPr>
          <w:rFonts w:ascii="Arial" w:hAnsi="Arial" w:cs="Arial"/>
          <w:sz w:val="24"/>
          <w:szCs w:val="24"/>
          <w:lang w:val="en-GB"/>
        </w:rPr>
        <w:t>considerable</w:t>
      </w:r>
      <w:r w:rsidRPr="00681DE7">
        <w:rPr>
          <w:rFonts w:ascii="Arial" w:hAnsi="Arial" w:cs="Arial"/>
          <w:sz w:val="24"/>
          <w:szCs w:val="24"/>
          <w:lang w:val="en-GB"/>
        </w:rPr>
        <w:t xml:space="preserve"> discrepancy regarding which indicators to use to monitor SDG 12. A relevant question is if the Nordic Council of Ministers should promote the development of other indicators for this SDG? Two arguments for providing specific Nordic indicators could be:</w:t>
      </w:r>
    </w:p>
    <w:p w14:paraId="5E31B1B9" w14:textId="77777777" w:rsidR="009A6A13" w:rsidRDefault="009A6A13" w:rsidP="009A6A13">
      <w:pPr>
        <w:pStyle w:val="Listeafsnit"/>
        <w:numPr>
          <w:ilvl w:val="0"/>
          <w:numId w:val="14"/>
        </w:numPr>
        <w:spacing w:before="360" w:after="0" w:line="360" w:lineRule="auto"/>
        <w:jc w:val="both"/>
        <w:rPr>
          <w:rFonts w:ascii="Arial" w:hAnsi="Arial" w:cs="Arial"/>
          <w:sz w:val="24"/>
          <w:szCs w:val="24"/>
          <w:lang w:val="en-GB"/>
        </w:rPr>
      </w:pPr>
      <w:r w:rsidRPr="00681DE7">
        <w:rPr>
          <w:rFonts w:ascii="Arial" w:hAnsi="Arial" w:cs="Arial"/>
          <w:sz w:val="24"/>
          <w:szCs w:val="24"/>
          <w:lang w:val="en-GB"/>
        </w:rPr>
        <w:t>Areas where the Nordic countries have more and better data than many other countries in the world. Then the Nordic countries could be in the forefront in the development of new world indicators.</w:t>
      </w:r>
    </w:p>
    <w:p w14:paraId="337BDCD3" w14:textId="77777777" w:rsidR="009A6A13" w:rsidRPr="00681DE7" w:rsidRDefault="009A6A13" w:rsidP="009A6A13">
      <w:pPr>
        <w:pStyle w:val="Listeafsnit"/>
        <w:spacing w:before="360" w:after="0" w:line="360" w:lineRule="auto"/>
        <w:ind w:left="360"/>
        <w:jc w:val="both"/>
        <w:rPr>
          <w:rFonts w:ascii="Arial" w:hAnsi="Arial" w:cs="Arial"/>
          <w:sz w:val="24"/>
          <w:szCs w:val="24"/>
          <w:lang w:val="en-GB"/>
        </w:rPr>
      </w:pPr>
    </w:p>
    <w:p w14:paraId="6E88B3B6" w14:textId="273FD225" w:rsidR="009A6A13" w:rsidRPr="009A6A13" w:rsidRDefault="009A6A13" w:rsidP="009A6A13">
      <w:pPr>
        <w:pStyle w:val="Listeafsnit"/>
        <w:numPr>
          <w:ilvl w:val="0"/>
          <w:numId w:val="14"/>
        </w:numPr>
        <w:spacing w:before="360" w:after="0" w:line="360" w:lineRule="auto"/>
        <w:jc w:val="both"/>
        <w:rPr>
          <w:rFonts w:ascii="Arial" w:hAnsi="Arial" w:cs="Arial"/>
          <w:sz w:val="24"/>
          <w:szCs w:val="24"/>
          <w:lang w:val="en-GB"/>
        </w:rPr>
      </w:pPr>
      <w:r w:rsidRPr="00681DE7">
        <w:rPr>
          <w:rFonts w:ascii="Arial" w:hAnsi="Arial" w:cs="Arial"/>
          <w:sz w:val="24"/>
          <w:szCs w:val="24"/>
          <w:lang w:val="en-GB"/>
        </w:rPr>
        <w:t>Areas where there are specific situations in the Nordic countries not covered by the international UN</w:t>
      </w:r>
      <w:r>
        <w:rPr>
          <w:rFonts w:ascii="Arial" w:hAnsi="Arial" w:cs="Arial"/>
          <w:sz w:val="24"/>
          <w:szCs w:val="24"/>
          <w:lang w:val="en-GB"/>
        </w:rPr>
        <w:t xml:space="preserve"> </w:t>
      </w:r>
      <w:r w:rsidRPr="00681DE7">
        <w:rPr>
          <w:rFonts w:ascii="Arial" w:hAnsi="Arial" w:cs="Arial"/>
          <w:sz w:val="24"/>
          <w:szCs w:val="24"/>
          <w:lang w:val="en-GB"/>
        </w:rPr>
        <w:t xml:space="preserve">indicators. </w:t>
      </w:r>
    </w:p>
    <w:p w14:paraId="3E781445" w14:textId="77777777" w:rsidR="009A6A13" w:rsidRPr="00681DE7" w:rsidRDefault="009A6A13" w:rsidP="009A6A13">
      <w:pPr>
        <w:pStyle w:val="Listeafsnit"/>
        <w:spacing w:before="360" w:after="0" w:line="360" w:lineRule="auto"/>
        <w:ind w:left="360"/>
        <w:jc w:val="both"/>
        <w:rPr>
          <w:rFonts w:ascii="Arial" w:hAnsi="Arial" w:cs="Arial"/>
          <w:sz w:val="24"/>
          <w:szCs w:val="24"/>
          <w:lang w:val="en-GB"/>
        </w:rPr>
      </w:pPr>
    </w:p>
    <w:p w14:paraId="0C557E5A" w14:textId="2CA0E8CB" w:rsidR="00066DA4" w:rsidRPr="00071563" w:rsidRDefault="00EA5C6A" w:rsidP="00071563">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An e</w:t>
      </w:r>
      <w:r w:rsidR="00591387" w:rsidRPr="00681DE7">
        <w:rPr>
          <w:rFonts w:ascii="Arial" w:hAnsi="Arial" w:cs="Arial"/>
          <w:sz w:val="24"/>
          <w:szCs w:val="24"/>
          <w:lang w:val="en-GB"/>
        </w:rPr>
        <w:t>xample of the first is the Environmental accounts where the Nordic countries have come very far</w:t>
      </w:r>
      <w:r w:rsidR="00C8694F">
        <w:rPr>
          <w:rFonts w:ascii="Arial" w:hAnsi="Arial" w:cs="Arial"/>
          <w:sz w:val="24"/>
          <w:szCs w:val="24"/>
          <w:lang w:val="en-GB"/>
        </w:rPr>
        <w:t>,</w:t>
      </w:r>
      <w:r w:rsidR="00591387" w:rsidRPr="00681DE7">
        <w:rPr>
          <w:rFonts w:ascii="Arial" w:hAnsi="Arial" w:cs="Arial"/>
          <w:sz w:val="24"/>
          <w:szCs w:val="24"/>
          <w:lang w:val="en-GB"/>
        </w:rPr>
        <w:t xml:space="preserve"> NCM (2016). In SCB (2016) Statistics Sweden present</w:t>
      </w:r>
      <w:r>
        <w:rPr>
          <w:rFonts w:ascii="Arial" w:hAnsi="Arial" w:cs="Arial"/>
          <w:sz w:val="24"/>
          <w:szCs w:val="24"/>
          <w:lang w:val="en-GB"/>
        </w:rPr>
        <w:t>s</w:t>
      </w:r>
      <w:r w:rsidR="00591387" w:rsidRPr="00681DE7">
        <w:rPr>
          <w:rFonts w:ascii="Arial" w:hAnsi="Arial" w:cs="Arial"/>
          <w:sz w:val="24"/>
          <w:szCs w:val="24"/>
          <w:lang w:val="en-GB"/>
        </w:rPr>
        <w:t xml:space="preserve"> a specific set of indicators </w:t>
      </w:r>
      <w:r w:rsidR="00C8694F">
        <w:rPr>
          <w:rFonts w:ascii="Arial" w:hAnsi="Arial" w:cs="Arial"/>
          <w:sz w:val="24"/>
          <w:szCs w:val="24"/>
          <w:lang w:val="en-GB"/>
        </w:rPr>
        <w:t xml:space="preserve">suggested </w:t>
      </w:r>
      <w:r w:rsidR="00591387" w:rsidRPr="00681DE7">
        <w:rPr>
          <w:rFonts w:ascii="Arial" w:hAnsi="Arial" w:cs="Arial"/>
          <w:sz w:val="24"/>
          <w:szCs w:val="24"/>
          <w:lang w:val="en-GB"/>
        </w:rPr>
        <w:t xml:space="preserve">to monitor SDG 12. This is an example of a suggestion of indicators that do not adhere </w:t>
      </w:r>
      <w:r>
        <w:rPr>
          <w:rFonts w:ascii="Arial" w:hAnsi="Arial" w:cs="Arial"/>
          <w:sz w:val="24"/>
          <w:szCs w:val="24"/>
          <w:lang w:val="en-GB"/>
        </w:rPr>
        <w:t>strictly</w:t>
      </w:r>
      <w:r w:rsidR="00591387" w:rsidRPr="00681DE7">
        <w:rPr>
          <w:rFonts w:ascii="Arial" w:hAnsi="Arial" w:cs="Arial"/>
          <w:sz w:val="24"/>
          <w:szCs w:val="24"/>
          <w:lang w:val="en-GB"/>
        </w:rPr>
        <w:t xml:space="preserve"> to the definitions of the UN</w:t>
      </w:r>
      <w:r>
        <w:rPr>
          <w:rFonts w:ascii="Arial" w:hAnsi="Arial" w:cs="Arial"/>
          <w:sz w:val="24"/>
          <w:szCs w:val="24"/>
          <w:lang w:val="en-GB"/>
        </w:rPr>
        <w:t xml:space="preserve"> </w:t>
      </w:r>
      <w:r w:rsidR="000D2BAF">
        <w:rPr>
          <w:rFonts w:ascii="Arial" w:hAnsi="Arial" w:cs="Arial"/>
          <w:sz w:val="24"/>
          <w:szCs w:val="24"/>
          <w:lang w:val="en-GB"/>
        </w:rPr>
        <w:t>indicators</w:t>
      </w:r>
      <w:r w:rsidR="007F2EC9" w:rsidRPr="00681DE7">
        <w:rPr>
          <w:rFonts w:ascii="Arial" w:hAnsi="Arial" w:cs="Arial"/>
          <w:sz w:val="24"/>
          <w:szCs w:val="24"/>
          <w:lang w:val="en-GB"/>
        </w:rPr>
        <w:t xml:space="preserve">. </w:t>
      </w:r>
      <w:bookmarkStart w:id="5" w:name="_Ref1129397"/>
    </w:p>
    <w:bookmarkEnd w:id="5"/>
    <w:p w14:paraId="57A3007A" w14:textId="22F82749" w:rsidR="00E346F6" w:rsidRPr="00681DE7" w:rsidRDefault="00EA5C6A" w:rsidP="00626BA4">
      <w:pPr>
        <w:spacing w:before="360" w:after="0" w:line="360" w:lineRule="auto"/>
        <w:jc w:val="both"/>
        <w:rPr>
          <w:rFonts w:ascii="Arial" w:hAnsi="Arial" w:cs="Arial"/>
          <w:sz w:val="24"/>
          <w:szCs w:val="24"/>
          <w:lang w:val="en-GB"/>
        </w:rPr>
      </w:pPr>
      <w:r>
        <w:rPr>
          <w:rFonts w:ascii="Arial" w:hAnsi="Arial" w:cs="Arial"/>
          <w:sz w:val="24"/>
          <w:szCs w:val="24"/>
          <w:lang w:val="en-GB"/>
        </w:rPr>
        <w:t>An e</w:t>
      </w:r>
      <w:r w:rsidR="007F2EC9" w:rsidRPr="00681DE7">
        <w:rPr>
          <w:rFonts w:ascii="Arial" w:hAnsi="Arial" w:cs="Arial"/>
          <w:sz w:val="24"/>
          <w:szCs w:val="24"/>
          <w:lang w:val="en-GB"/>
        </w:rPr>
        <w:t xml:space="preserve">xample of indicators specifically relevant for the Nordic region are </w:t>
      </w:r>
      <w:r w:rsidR="00C8694F">
        <w:rPr>
          <w:rFonts w:ascii="Arial" w:hAnsi="Arial" w:cs="Arial"/>
          <w:sz w:val="24"/>
          <w:szCs w:val="24"/>
          <w:lang w:val="en-GB"/>
        </w:rPr>
        <w:t xml:space="preserve">e.g. </w:t>
      </w:r>
      <w:r w:rsidR="007F2EC9" w:rsidRPr="00681DE7">
        <w:rPr>
          <w:rFonts w:ascii="Arial" w:hAnsi="Arial" w:cs="Arial"/>
          <w:sz w:val="24"/>
          <w:szCs w:val="24"/>
          <w:lang w:val="en-GB"/>
        </w:rPr>
        <w:t xml:space="preserve">indicators related to the environmental situation in the Baltic sea or the use of the ecolabel ‘Svanen’. </w:t>
      </w:r>
      <w:r w:rsidR="00A26CCD">
        <w:rPr>
          <w:rFonts w:ascii="Arial" w:hAnsi="Arial" w:cs="Arial"/>
          <w:sz w:val="24"/>
          <w:szCs w:val="24"/>
          <w:lang w:val="en-GB"/>
        </w:rPr>
        <w:br/>
      </w:r>
    </w:p>
    <w:p w14:paraId="4B443BE8" w14:textId="77777777" w:rsidR="00674CF6" w:rsidRPr="00276EB9" w:rsidRDefault="00674CF6" w:rsidP="00674CF6">
      <w:r w:rsidRPr="00224C61">
        <w:rPr>
          <w:i/>
        </w:rPr>
        <w:t>Table 2, The Nordic countries' access to data to calculate UN indicators within target 12.</w:t>
      </w:r>
    </w:p>
    <w:tbl>
      <w:tblPr>
        <w:tblW w:w="0" w:type="auto"/>
        <w:tblInd w:w="5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left w:w="70" w:type="dxa"/>
          <w:right w:w="70" w:type="dxa"/>
        </w:tblCellMar>
        <w:tblLook w:val="04A0" w:firstRow="1" w:lastRow="0" w:firstColumn="1" w:lastColumn="0" w:noHBand="0" w:noVBand="1"/>
      </w:tblPr>
      <w:tblGrid>
        <w:gridCol w:w="4466"/>
        <w:gridCol w:w="913"/>
        <w:gridCol w:w="901"/>
        <w:gridCol w:w="1033"/>
        <w:gridCol w:w="854"/>
        <w:gridCol w:w="844"/>
      </w:tblGrid>
      <w:tr w:rsidR="00674CF6" w:rsidRPr="006E78C0" w14:paraId="227DD7CE" w14:textId="77777777" w:rsidTr="002B2A04">
        <w:trPr>
          <w:trHeight w:val="468"/>
        </w:trPr>
        <w:tc>
          <w:tcPr>
            <w:tcW w:w="0" w:type="auto"/>
            <w:shd w:val="clear" w:color="000000" w:fill="D9D9D9"/>
            <w:noWrap/>
            <w:vAlign w:val="bottom"/>
            <w:hideMark/>
          </w:tcPr>
          <w:p w14:paraId="13BB0914" w14:textId="77777777" w:rsidR="00674CF6" w:rsidRPr="006E78C0" w:rsidRDefault="00674CF6" w:rsidP="002B2A04">
            <w:pPr>
              <w:spacing w:after="0" w:line="240" w:lineRule="auto"/>
              <w:rPr>
                <w:sz w:val="24"/>
              </w:rPr>
            </w:pPr>
            <w:r w:rsidRPr="006E78C0">
              <w:rPr>
                <w:sz w:val="24"/>
              </w:rPr>
              <w:t>Indicators</w:t>
            </w:r>
          </w:p>
        </w:tc>
        <w:tc>
          <w:tcPr>
            <w:tcW w:w="0" w:type="auto"/>
            <w:shd w:val="clear" w:color="000000" w:fill="D9D9D9"/>
            <w:noWrap/>
            <w:vAlign w:val="bottom"/>
            <w:hideMark/>
          </w:tcPr>
          <w:p w14:paraId="0957F6EC" w14:textId="77777777" w:rsidR="00674CF6" w:rsidRPr="006E78C0" w:rsidRDefault="00674CF6" w:rsidP="002B2A04">
            <w:pPr>
              <w:spacing w:after="0" w:line="240" w:lineRule="auto"/>
              <w:rPr>
                <w:sz w:val="24"/>
              </w:rPr>
            </w:pPr>
            <w:r w:rsidRPr="006E78C0">
              <w:rPr>
                <w:sz w:val="24"/>
              </w:rPr>
              <w:t>Sweden</w:t>
            </w:r>
          </w:p>
        </w:tc>
        <w:tc>
          <w:tcPr>
            <w:tcW w:w="0" w:type="auto"/>
            <w:shd w:val="clear" w:color="000000" w:fill="D9D9D9"/>
            <w:noWrap/>
            <w:vAlign w:val="bottom"/>
            <w:hideMark/>
          </w:tcPr>
          <w:p w14:paraId="0EA8671F" w14:textId="77777777" w:rsidR="00674CF6" w:rsidRPr="006E78C0" w:rsidRDefault="00674CF6" w:rsidP="002B2A04">
            <w:pPr>
              <w:spacing w:after="0" w:line="240" w:lineRule="auto"/>
              <w:rPr>
                <w:sz w:val="24"/>
              </w:rPr>
            </w:pPr>
            <w:r w:rsidRPr="006E78C0">
              <w:rPr>
                <w:sz w:val="24"/>
              </w:rPr>
              <w:t>Norway</w:t>
            </w:r>
          </w:p>
        </w:tc>
        <w:tc>
          <w:tcPr>
            <w:tcW w:w="0" w:type="auto"/>
            <w:shd w:val="clear" w:color="000000" w:fill="D9D9D9"/>
            <w:noWrap/>
            <w:vAlign w:val="bottom"/>
            <w:hideMark/>
          </w:tcPr>
          <w:p w14:paraId="6D88CA41" w14:textId="77777777" w:rsidR="00674CF6" w:rsidRPr="006E78C0" w:rsidRDefault="00674CF6" w:rsidP="002B2A04">
            <w:pPr>
              <w:spacing w:after="0" w:line="240" w:lineRule="auto"/>
              <w:rPr>
                <w:sz w:val="24"/>
              </w:rPr>
            </w:pPr>
            <w:r w:rsidRPr="006E78C0">
              <w:rPr>
                <w:sz w:val="24"/>
              </w:rPr>
              <w:t>Denmark</w:t>
            </w:r>
          </w:p>
        </w:tc>
        <w:tc>
          <w:tcPr>
            <w:tcW w:w="0" w:type="auto"/>
            <w:shd w:val="clear" w:color="000000" w:fill="D9D9D9"/>
            <w:noWrap/>
            <w:vAlign w:val="bottom"/>
            <w:hideMark/>
          </w:tcPr>
          <w:p w14:paraId="33C41015" w14:textId="77777777" w:rsidR="00674CF6" w:rsidRPr="006E78C0" w:rsidRDefault="00674CF6" w:rsidP="002B2A04">
            <w:pPr>
              <w:spacing w:after="0" w:line="240" w:lineRule="auto"/>
              <w:rPr>
                <w:sz w:val="24"/>
              </w:rPr>
            </w:pPr>
            <w:r w:rsidRPr="006E78C0">
              <w:rPr>
                <w:sz w:val="24"/>
              </w:rPr>
              <w:t>Finland</w:t>
            </w:r>
          </w:p>
        </w:tc>
        <w:tc>
          <w:tcPr>
            <w:tcW w:w="0" w:type="auto"/>
            <w:shd w:val="clear" w:color="000000" w:fill="D9D9D9"/>
            <w:noWrap/>
            <w:vAlign w:val="bottom"/>
            <w:hideMark/>
          </w:tcPr>
          <w:p w14:paraId="03A9C1D6" w14:textId="362563DA" w:rsidR="00674CF6" w:rsidRPr="006E78C0" w:rsidRDefault="00674CF6" w:rsidP="002B2A04">
            <w:pPr>
              <w:spacing w:after="0" w:line="240" w:lineRule="auto"/>
              <w:rPr>
                <w:sz w:val="24"/>
              </w:rPr>
            </w:pPr>
            <w:r w:rsidRPr="006E78C0">
              <w:rPr>
                <w:sz w:val="24"/>
              </w:rPr>
              <w:t>I</w:t>
            </w:r>
            <w:r w:rsidR="009B6941">
              <w:rPr>
                <w:sz w:val="24"/>
              </w:rPr>
              <w:t>ce</w:t>
            </w:r>
            <w:r w:rsidRPr="006E78C0">
              <w:rPr>
                <w:sz w:val="24"/>
              </w:rPr>
              <w:t>land</w:t>
            </w:r>
          </w:p>
        </w:tc>
      </w:tr>
      <w:tr w:rsidR="00674CF6" w:rsidRPr="004E1DFF" w14:paraId="5992FF8F" w14:textId="77777777" w:rsidTr="002B2A04">
        <w:trPr>
          <w:trHeight w:val="609"/>
        </w:trPr>
        <w:tc>
          <w:tcPr>
            <w:tcW w:w="0" w:type="auto"/>
            <w:shd w:val="clear" w:color="auto" w:fill="auto"/>
            <w:vAlign w:val="center"/>
            <w:hideMark/>
          </w:tcPr>
          <w:p w14:paraId="50CCC1FE"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12.1.1 Number of countries with sustainable consumption and production (SCP) national action plans or SCP mainstreamed as a priority or a target into national policies</w:t>
            </w:r>
          </w:p>
        </w:tc>
        <w:tc>
          <w:tcPr>
            <w:tcW w:w="0" w:type="auto"/>
            <w:shd w:val="clear" w:color="000000" w:fill="C5D9F1"/>
            <w:noWrap/>
            <w:vAlign w:val="bottom"/>
            <w:hideMark/>
          </w:tcPr>
          <w:p w14:paraId="5A3B040A"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2516DA83"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78C9961F"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68912EDA"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24BF4A52"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6B497BB6" w14:textId="77777777" w:rsidTr="002B2A04">
        <w:trPr>
          <w:trHeight w:val="552"/>
        </w:trPr>
        <w:tc>
          <w:tcPr>
            <w:tcW w:w="0" w:type="auto"/>
            <w:shd w:val="clear" w:color="auto" w:fill="auto"/>
            <w:vAlign w:val="center"/>
            <w:hideMark/>
          </w:tcPr>
          <w:p w14:paraId="7762EDA2"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12.2.1 Material footprint, material footprint per capita, and material footprint per GDP</w:t>
            </w:r>
          </w:p>
        </w:tc>
        <w:tc>
          <w:tcPr>
            <w:tcW w:w="0" w:type="auto"/>
            <w:shd w:val="clear" w:color="000000" w:fill="92D050"/>
            <w:vAlign w:val="bottom"/>
            <w:hideMark/>
          </w:tcPr>
          <w:p w14:paraId="29435424"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vAlign w:val="bottom"/>
            <w:hideMark/>
          </w:tcPr>
          <w:p w14:paraId="16FFBF53"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vAlign w:val="bottom"/>
            <w:hideMark/>
          </w:tcPr>
          <w:p w14:paraId="6C5B8940" w14:textId="77777777" w:rsidR="00674CF6" w:rsidRPr="00276EB9" w:rsidRDefault="00674CF6" w:rsidP="002B2A04">
            <w:pPr>
              <w:spacing w:after="0" w:line="240" w:lineRule="auto"/>
              <w:contextualSpacing/>
              <w:rPr>
                <w:rFonts w:cs="Arial"/>
                <w:sz w:val="16"/>
                <w:lang w:val="en-US"/>
              </w:rPr>
            </w:pPr>
          </w:p>
        </w:tc>
        <w:tc>
          <w:tcPr>
            <w:tcW w:w="0" w:type="auto"/>
            <w:shd w:val="clear" w:color="auto" w:fill="FF3300"/>
            <w:noWrap/>
            <w:vAlign w:val="bottom"/>
            <w:hideMark/>
          </w:tcPr>
          <w:p w14:paraId="0EAD3BA3"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26D59889"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78F98128" w14:textId="77777777" w:rsidTr="002B2A04">
        <w:trPr>
          <w:trHeight w:val="427"/>
        </w:trPr>
        <w:tc>
          <w:tcPr>
            <w:tcW w:w="0" w:type="auto"/>
            <w:shd w:val="clear" w:color="auto" w:fill="auto"/>
            <w:vAlign w:val="center"/>
            <w:hideMark/>
          </w:tcPr>
          <w:p w14:paraId="7D1BDAF1"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12.2.2 Domestic material consumption, domestic material consumption per capita, and domestic material consumption per GDP</w:t>
            </w:r>
          </w:p>
        </w:tc>
        <w:tc>
          <w:tcPr>
            <w:tcW w:w="0" w:type="auto"/>
            <w:shd w:val="clear" w:color="000000" w:fill="92D050"/>
            <w:noWrap/>
            <w:vAlign w:val="bottom"/>
            <w:hideMark/>
          </w:tcPr>
          <w:p w14:paraId="30AB4A0F"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3644FAB1"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0F521898"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5B862CD9"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4573726C"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276EB9" w14:paraId="05B8FE53" w14:textId="77777777" w:rsidTr="002B2A04">
        <w:trPr>
          <w:trHeight w:val="276"/>
        </w:trPr>
        <w:tc>
          <w:tcPr>
            <w:tcW w:w="0" w:type="auto"/>
            <w:shd w:val="clear" w:color="auto" w:fill="auto"/>
            <w:vAlign w:val="center"/>
            <w:hideMark/>
          </w:tcPr>
          <w:p w14:paraId="16DCD944" w14:textId="77777777" w:rsidR="00674CF6" w:rsidRPr="00276EB9" w:rsidRDefault="00674CF6" w:rsidP="002B2A04">
            <w:pPr>
              <w:spacing w:after="0" w:line="240" w:lineRule="auto"/>
              <w:ind w:firstLineChars="4" w:firstLine="6"/>
              <w:contextualSpacing/>
              <w:rPr>
                <w:rFonts w:cs="Arial"/>
                <w:sz w:val="16"/>
              </w:rPr>
            </w:pPr>
            <w:r w:rsidRPr="00276EB9">
              <w:rPr>
                <w:rFonts w:cs="Arial"/>
                <w:sz w:val="16"/>
              </w:rPr>
              <w:t>12.3.1 Global food loss index</w:t>
            </w:r>
          </w:p>
        </w:tc>
        <w:tc>
          <w:tcPr>
            <w:tcW w:w="0" w:type="auto"/>
            <w:shd w:val="clear" w:color="auto" w:fill="FF3300"/>
            <w:noWrap/>
            <w:vAlign w:val="bottom"/>
            <w:hideMark/>
          </w:tcPr>
          <w:p w14:paraId="3187B163" w14:textId="77777777" w:rsidR="00674CF6" w:rsidRPr="00276EB9" w:rsidRDefault="00674CF6" w:rsidP="002B2A04">
            <w:pPr>
              <w:spacing w:after="0" w:line="240" w:lineRule="auto"/>
              <w:contextualSpacing/>
              <w:rPr>
                <w:rFonts w:cs="Arial"/>
                <w:sz w:val="16"/>
              </w:rPr>
            </w:pPr>
            <w:r w:rsidRPr="00276EB9">
              <w:rPr>
                <w:rFonts w:cs="Arial"/>
                <w:sz w:val="16"/>
              </w:rPr>
              <w:t> </w:t>
            </w:r>
          </w:p>
        </w:tc>
        <w:tc>
          <w:tcPr>
            <w:tcW w:w="0" w:type="auto"/>
            <w:shd w:val="clear" w:color="auto" w:fill="FF3300"/>
            <w:noWrap/>
            <w:vAlign w:val="bottom"/>
            <w:hideMark/>
          </w:tcPr>
          <w:p w14:paraId="3DACF8D5" w14:textId="77777777" w:rsidR="00674CF6" w:rsidRPr="00276EB9" w:rsidRDefault="00674CF6" w:rsidP="002B2A04">
            <w:pPr>
              <w:spacing w:after="0" w:line="240" w:lineRule="auto"/>
              <w:contextualSpacing/>
              <w:rPr>
                <w:rFonts w:cs="Arial"/>
                <w:sz w:val="16"/>
              </w:rPr>
            </w:pPr>
            <w:r w:rsidRPr="00276EB9">
              <w:rPr>
                <w:rFonts w:cs="Arial"/>
                <w:sz w:val="16"/>
              </w:rPr>
              <w:t> </w:t>
            </w:r>
          </w:p>
        </w:tc>
        <w:tc>
          <w:tcPr>
            <w:tcW w:w="0" w:type="auto"/>
            <w:shd w:val="clear" w:color="auto" w:fill="FF3300"/>
            <w:noWrap/>
            <w:vAlign w:val="bottom"/>
            <w:hideMark/>
          </w:tcPr>
          <w:p w14:paraId="2FD2E35D" w14:textId="77777777" w:rsidR="00674CF6" w:rsidRPr="00276EB9" w:rsidRDefault="00674CF6" w:rsidP="002B2A04">
            <w:pPr>
              <w:spacing w:after="0" w:line="240" w:lineRule="auto"/>
              <w:contextualSpacing/>
              <w:rPr>
                <w:rFonts w:cs="Arial"/>
                <w:sz w:val="16"/>
              </w:rPr>
            </w:pPr>
          </w:p>
        </w:tc>
        <w:tc>
          <w:tcPr>
            <w:tcW w:w="0" w:type="auto"/>
            <w:shd w:val="clear" w:color="auto" w:fill="FF3300"/>
            <w:noWrap/>
            <w:vAlign w:val="bottom"/>
            <w:hideMark/>
          </w:tcPr>
          <w:p w14:paraId="48693469" w14:textId="77777777" w:rsidR="00674CF6" w:rsidRPr="00276EB9" w:rsidRDefault="00674CF6" w:rsidP="002B2A04">
            <w:pPr>
              <w:spacing w:after="0" w:line="240" w:lineRule="auto"/>
              <w:contextualSpacing/>
              <w:rPr>
                <w:rFonts w:cs="Arial"/>
                <w:sz w:val="16"/>
              </w:rPr>
            </w:pPr>
            <w:r w:rsidRPr="00276EB9">
              <w:rPr>
                <w:rFonts w:cs="Arial"/>
                <w:sz w:val="16"/>
              </w:rPr>
              <w:t> </w:t>
            </w:r>
          </w:p>
        </w:tc>
        <w:tc>
          <w:tcPr>
            <w:tcW w:w="0" w:type="auto"/>
            <w:shd w:val="clear" w:color="auto" w:fill="FF3300"/>
            <w:noWrap/>
            <w:vAlign w:val="bottom"/>
            <w:hideMark/>
          </w:tcPr>
          <w:p w14:paraId="070C80E1" w14:textId="77777777" w:rsidR="00674CF6" w:rsidRPr="00276EB9" w:rsidRDefault="00674CF6" w:rsidP="002B2A04">
            <w:pPr>
              <w:spacing w:after="0" w:line="240" w:lineRule="auto"/>
              <w:contextualSpacing/>
              <w:rPr>
                <w:rFonts w:cs="Arial"/>
                <w:sz w:val="16"/>
              </w:rPr>
            </w:pPr>
            <w:r w:rsidRPr="00276EB9">
              <w:rPr>
                <w:rFonts w:cs="Arial"/>
                <w:sz w:val="16"/>
              </w:rPr>
              <w:t> </w:t>
            </w:r>
          </w:p>
        </w:tc>
      </w:tr>
      <w:tr w:rsidR="00674CF6" w:rsidRPr="004E1DFF" w14:paraId="11D1912F" w14:textId="77777777" w:rsidTr="002B2A04">
        <w:trPr>
          <w:trHeight w:val="709"/>
        </w:trPr>
        <w:tc>
          <w:tcPr>
            <w:tcW w:w="0" w:type="auto"/>
            <w:shd w:val="clear" w:color="auto" w:fill="auto"/>
            <w:vAlign w:val="center"/>
            <w:hideMark/>
          </w:tcPr>
          <w:p w14:paraId="25016DAD"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12.4.1 Number of parties to international multilateral environmental agreements on hazardous waste, and other chemicals that meet their commitments and obligations in transmitting information as required by each relevant agreement</w:t>
            </w:r>
          </w:p>
        </w:tc>
        <w:tc>
          <w:tcPr>
            <w:tcW w:w="0" w:type="auto"/>
            <w:shd w:val="clear" w:color="000000" w:fill="92D050"/>
            <w:vAlign w:val="bottom"/>
            <w:hideMark/>
          </w:tcPr>
          <w:p w14:paraId="42D9502D"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tcPr>
          <w:p w14:paraId="25E5AF62" w14:textId="77777777" w:rsidR="00674CF6" w:rsidRPr="00276EB9" w:rsidRDefault="00674CF6" w:rsidP="002B2A04">
            <w:pPr>
              <w:spacing w:after="0" w:line="240" w:lineRule="auto"/>
              <w:contextualSpacing/>
              <w:rPr>
                <w:rFonts w:cs="Arial"/>
                <w:sz w:val="16"/>
                <w:lang w:val="en-US"/>
              </w:rPr>
            </w:pPr>
          </w:p>
        </w:tc>
        <w:tc>
          <w:tcPr>
            <w:tcW w:w="0" w:type="auto"/>
            <w:shd w:val="clear" w:color="auto" w:fill="FFC000"/>
            <w:vAlign w:val="bottom"/>
          </w:tcPr>
          <w:p w14:paraId="7785FEB1" w14:textId="77777777" w:rsidR="00674CF6" w:rsidRPr="00276EB9" w:rsidRDefault="00674CF6" w:rsidP="002B2A04">
            <w:pPr>
              <w:spacing w:after="0" w:line="240" w:lineRule="auto"/>
              <w:contextualSpacing/>
              <w:rPr>
                <w:rFonts w:cs="Arial"/>
                <w:sz w:val="16"/>
                <w:lang w:val="en-US"/>
              </w:rPr>
            </w:pPr>
          </w:p>
        </w:tc>
        <w:tc>
          <w:tcPr>
            <w:tcW w:w="0" w:type="auto"/>
            <w:shd w:val="clear" w:color="000000" w:fill="92D050"/>
            <w:noWrap/>
            <w:vAlign w:val="bottom"/>
            <w:hideMark/>
          </w:tcPr>
          <w:p w14:paraId="6A88C010"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1B3D1815"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2778168C" w14:textId="77777777" w:rsidTr="002B2A04">
        <w:trPr>
          <w:trHeight w:val="410"/>
        </w:trPr>
        <w:tc>
          <w:tcPr>
            <w:tcW w:w="0" w:type="auto"/>
            <w:shd w:val="clear" w:color="auto" w:fill="auto"/>
            <w:vAlign w:val="center"/>
            <w:hideMark/>
          </w:tcPr>
          <w:p w14:paraId="2FBB6A5A"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12.4.2 Hazardous waste generated per capita and proportion of hazardous waste treated, by type of treatment</w:t>
            </w:r>
          </w:p>
        </w:tc>
        <w:tc>
          <w:tcPr>
            <w:tcW w:w="0" w:type="auto"/>
            <w:shd w:val="clear" w:color="000000" w:fill="92D050"/>
            <w:noWrap/>
            <w:vAlign w:val="bottom"/>
            <w:hideMark/>
          </w:tcPr>
          <w:p w14:paraId="43EBD3F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492F7954"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3D4E7A1C"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06AF61E9"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114BE40A"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11978CDD" w14:textId="77777777" w:rsidTr="002B2A04">
        <w:trPr>
          <w:trHeight w:val="276"/>
        </w:trPr>
        <w:tc>
          <w:tcPr>
            <w:tcW w:w="0" w:type="auto"/>
            <w:shd w:val="clear" w:color="auto" w:fill="auto"/>
            <w:vAlign w:val="center"/>
            <w:hideMark/>
          </w:tcPr>
          <w:p w14:paraId="4505B434"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12.5.1 National recycling rate, tons of material recycled</w:t>
            </w:r>
          </w:p>
        </w:tc>
        <w:tc>
          <w:tcPr>
            <w:tcW w:w="0" w:type="auto"/>
            <w:shd w:val="clear" w:color="000000" w:fill="92D050"/>
            <w:noWrap/>
            <w:vAlign w:val="bottom"/>
            <w:hideMark/>
          </w:tcPr>
          <w:p w14:paraId="06DF035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348FC8EB"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0B1BAE93"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4004F0A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92D050"/>
            <w:noWrap/>
            <w:vAlign w:val="bottom"/>
            <w:hideMark/>
          </w:tcPr>
          <w:p w14:paraId="189119CD"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12B7350F" w14:textId="77777777" w:rsidTr="002B2A04">
        <w:trPr>
          <w:trHeight w:val="276"/>
        </w:trPr>
        <w:tc>
          <w:tcPr>
            <w:tcW w:w="0" w:type="auto"/>
            <w:shd w:val="clear" w:color="auto" w:fill="auto"/>
            <w:vAlign w:val="center"/>
            <w:hideMark/>
          </w:tcPr>
          <w:p w14:paraId="7E03C762"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12.6.1 Number of companies publishing sustainability reports</w:t>
            </w:r>
          </w:p>
        </w:tc>
        <w:tc>
          <w:tcPr>
            <w:tcW w:w="0" w:type="auto"/>
            <w:shd w:val="clear" w:color="000000" w:fill="FFC000"/>
            <w:noWrap/>
            <w:vAlign w:val="bottom"/>
            <w:hideMark/>
          </w:tcPr>
          <w:p w14:paraId="7204F748"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438F6896"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6FAC1DD4" w14:textId="77777777" w:rsidR="00674CF6" w:rsidRPr="00276EB9" w:rsidRDefault="00674CF6" w:rsidP="002B2A04">
            <w:pPr>
              <w:spacing w:after="0" w:line="240" w:lineRule="auto"/>
              <w:contextualSpacing/>
              <w:rPr>
                <w:rFonts w:cs="Arial"/>
                <w:sz w:val="16"/>
                <w:lang w:val="en-US"/>
              </w:rPr>
            </w:pPr>
          </w:p>
        </w:tc>
        <w:tc>
          <w:tcPr>
            <w:tcW w:w="0" w:type="auto"/>
            <w:shd w:val="clear" w:color="000000" w:fill="92D050"/>
            <w:noWrap/>
            <w:vAlign w:val="bottom"/>
            <w:hideMark/>
          </w:tcPr>
          <w:p w14:paraId="390137F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7ECCD292"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557DD8E0" w14:textId="77777777" w:rsidTr="002B2A04">
        <w:trPr>
          <w:trHeight w:val="412"/>
        </w:trPr>
        <w:tc>
          <w:tcPr>
            <w:tcW w:w="0" w:type="auto"/>
            <w:shd w:val="clear" w:color="auto" w:fill="auto"/>
            <w:vAlign w:val="center"/>
            <w:hideMark/>
          </w:tcPr>
          <w:p w14:paraId="197B4A68"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12.7.1 Number of countries implementing sustainable public procurement policies and action plans</w:t>
            </w:r>
          </w:p>
        </w:tc>
        <w:tc>
          <w:tcPr>
            <w:tcW w:w="0" w:type="auto"/>
            <w:shd w:val="clear" w:color="000000" w:fill="C5D9F1"/>
            <w:noWrap/>
            <w:vAlign w:val="bottom"/>
            <w:hideMark/>
          </w:tcPr>
          <w:p w14:paraId="29E235F9"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663D622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5BEB640F" w14:textId="77777777" w:rsidR="00674CF6" w:rsidRPr="00276EB9" w:rsidRDefault="00674CF6" w:rsidP="002B2A04">
            <w:pPr>
              <w:spacing w:after="0" w:line="240" w:lineRule="auto"/>
              <w:contextualSpacing/>
              <w:rPr>
                <w:rFonts w:cs="Arial"/>
                <w:sz w:val="16"/>
                <w:lang w:val="en-US"/>
              </w:rPr>
            </w:pPr>
          </w:p>
        </w:tc>
        <w:tc>
          <w:tcPr>
            <w:tcW w:w="0" w:type="auto"/>
            <w:shd w:val="clear" w:color="000000" w:fill="C5D9F1"/>
            <w:noWrap/>
            <w:vAlign w:val="bottom"/>
            <w:hideMark/>
          </w:tcPr>
          <w:p w14:paraId="706A70E2"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C5D9F1"/>
            <w:noWrap/>
            <w:vAlign w:val="bottom"/>
            <w:hideMark/>
          </w:tcPr>
          <w:p w14:paraId="3E797B59"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36031238" w14:textId="77777777" w:rsidTr="002B2A04">
        <w:trPr>
          <w:trHeight w:val="844"/>
        </w:trPr>
        <w:tc>
          <w:tcPr>
            <w:tcW w:w="0" w:type="auto"/>
            <w:shd w:val="clear" w:color="auto" w:fill="auto"/>
            <w:vAlign w:val="center"/>
            <w:hideMark/>
          </w:tcPr>
          <w:p w14:paraId="57F5F785"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12.8.1 Extent to which (i) global citizenship education and (ii) education for sustainable development (including climate change education) are mainstreamed in (a) national education policies; (b) curricula; (c) teacher education; and (d) student assessment</w:t>
            </w:r>
          </w:p>
        </w:tc>
        <w:tc>
          <w:tcPr>
            <w:tcW w:w="0" w:type="auto"/>
            <w:shd w:val="clear" w:color="000000" w:fill="FFC000"/>
            <w:noWrap/>
            <w:vAlign w:val="bottom"/>
            <w:hideMark/>
          </w:tcPr>
          <w:p w14:paraId="1225839C"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4436A66D"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7F9B8A9F" w14:textId="77777777" w:rsidR="00674CF6" w:rsidRPr="00276EB9" w:rsidRDefault="00674CF6" w:rsidP="002B2A04">
            <w:pPr>
              <w:spacing w:after="0" w:line="240" w:lineRule="auto"/>
              <w:contextualSpacing/>
              <w:rPr>
                <w:rFonts w:cs="Arial"/>
                <w:sz w:val="16"/>
                <w:lang w:val="en-US"/>
              </w:rPr>
            </w:pPr>
          </w:p>
        </w:tc>
        <w:tc>
          <w:tcPr>
            <w:tcW w:w="0" w:type="auto"/>
            <w:shd w:val="clear" w:color="auto" w:fill="FF3300"/>
            <w:noWrap/>
            <w:vAlign w:val="bottom"/>
            <w:hideMark/>
          </w:tcPr>
          <w:p w14:paraId="0D21EC9A"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697E86B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7A020A73" w14:textId="77777777" w:rsidTr="002B2A04">
        <w:trPr>
          <w:trHeight w:val="591"/>
        </w:trPr>
        <w:tc>
          <w:tcPr>
            <w:tcW w:w="0" w:type="auto"/>
            <w:shd w:val="clear" w:color="auto" w:fill="auto"/>
            <w:vAlign w:val="center"/>
            <w:hideMark/>
          </w:tcPr>
          <w:p w14:paraId="2EDEABDC"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12.a.1 Amount of support to developing countries on research and development for sustainable consumption and production and environmentally sound technologies</w:t>
            </w:r>
          </w:p>
        </w:tc>
        <w:tc>
          <w:tcPr>
            <w:tcW w:w="0" w:type="auto"/>
            <w:shd w:val="clear" w:color="auto" w:fill="FF3300"/>
            <w:noWrap/>
            <w:vAlign w:val="bottom"/>
            <w:hideMark/>
          </w:tcPr>
          <w:p w14:paraId="2F73F5A2"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0EA3121C"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tcPr>
          <w:p w14:paraId="20FA6FE0" w14:textId="77777777" w:rsidR="00674CF6" w:rsidRPr="00276EB9" w:rsidRDefault="00674CF6" w:rsidP="002B2A04">
            <w:pPr>
              <w:spacing w:after="0" w:line="240" w:lineRule="auto"/>
              <w:contextualSpacing/>
              <w:rPr>
                <w:rFonts w:cs="Arial"/>
                <w:sz w:val="16"/>
                <w:lang w:val="en-US"/>
              </w:rPr>
            </w:pPr>
          </w:p>
        </w:tc>
        <w:tc>
          <w:tcPr>
            <w:tcW w:w="0" w:type="auto"/>
            <w:shd w:val="clear" w:color="auto" w:fill="FF3300"/>
            <w:noWrap/>
            <w:vAlign w:val="bottom"/>
            <w:hideMark/>
          </w:tcPr>
          <w:p w14:paraId="42A2A497"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749101E1"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48FAB600" w14:textId="77777777" w:rsidTr="002B2A04">
        <w:trPr>
          <w:trHeight w:val="552"/>
        </w:trPr>
        <w:tc>
          <w:tcPr>
            <w:tcW w:w="0" w:type="auto"/>
            <w:shd w:val="clear" w:color="auto" w:fill="auto"/>
            <w:vAlign w:val="center"/>
            <w:hideMark/>
          </w:tcPr>
          <w:p w14:paraId="3B57C567"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12.b.1 Number of sustainable tourism strategies or policies and implemented action plans with agreed monitoring and evaluation tools</w:t>
            </w:r>
          </w:p>
        </w:tc>
        <w:tc>
          <w:tcPr>
            <w:tcW w:w="0" w:type="auto"/>
            <w:shd w:val="clear" w:color="auto" w:fill="FF3300"/>
            <w:noWrap/>
            <w:vAlign w:val="bottom"/>
            <w:hideMark/>
          </w:tcPr>
          <w:p w14:paraId="313CE25A"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07C459AF"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tcPr>
          <w:p w14:paraId="12B150E4" w14:textId="77777777" w:rsidR="00674CF6" w:rsidRPr="00276EB9" w:rsidRDefault="00674CF6" w:rsidP="002B2A04">
            <w:pPr>
              <w:spacing w:after="0" w:line="240" w:lineRule="auto"/>
              <w:contextualSpacing/>
              <w:rPr>
                <w:rFonts w:cs="Arial"/>
                <w:sz w:val="16"/>
                <w:lang w:val="en-US"/>
              </w:rPr>
            </w:pPr>
          </w:p>
        </w:tc>
        <w:tc>
          <w:tcPr>
            <w:tcW w:w="0" w:type="auto"/>
            <w:shd w:val="clear" w:color="auto" w:fill="FF3300"/>
            <w:noWrap/>
            <w:vAlign w:val="bottom"/>
            <w:hideMark/>
          </w:tcPr>
          <w:p w14:paraId="3778E4CA"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33EDE86F"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r w:rsidR="00674CF6" w:rsidRPr="004E1DFF" w14:paraId="1D789063" w14:textId="77777777" w:rsidTr="002B2A04">
        <w:trPr>
          <w:trHeight w:val="552"/>
        </w:trPr>
        <w:tc>
          <w:tcPr>
            <w:tcW w:w="0" w:type="auto"/>
            <w:shd w:val="clear" w:color="auto" w:fill="auto"/>
            <w:vAlign w:val="center"/>
            <w:hideMark/>
          </w:tcPr>
          <w:p w14:paraId="5525095F" w14:textId="77777777" w:rsidR="00674CF6" w:rsidRPr="00276EB9" w:rsidRDefault="00674CF6" w:rsidP="002B2A04">
            <w:pPr>
              <w:spacing w:after="0" w:line="240" w:lineRule="auto"/>
              <w:ind w:firstLineChars="4" w:firstLine="6"/>
              <w:contextualSpacing/>
              <w:rPr>
                <w:rFonts w:cs="Arial"/>
                <w:sz w:val="16"/>
                <w:lang w:val="en-US"/>
              </w:rPr>
            </w:pPr>
            <w:r w:rsidRPr="00276EB9">
              <w:rPr>
                <w:rFonts w:cs="Arial"/>
                <w:sz w:val="16"/>
                <w:lang w:val="en-US"/>
              </w:rPr>
              <w:t>12.c.1 Amount of fossil-fuel subsidies per unit of GDP (production and consumption) and as a proportion of total national expenditure on fossil fuels</w:t>
            </w:r>
          </w:p>
        </w:tc>
        <w:tc>
          <w:tcPr>
            <w:tcW w:w="0" w:type="auto"/>
            <w:shd w:val="clear" w:color="000000" w:fill="FFC000"/>
            <w:noWrap/>
            <w:vAlign w:val="bottom"/>
            <w:hideMark/>
          </w:tcPr>
          <w:p w14:paraId="08E56685"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639AAA19"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000000" w:fill="FFC000"/>
            <w:noWrap/>
            <w:vAlign w:val="bottom"/>
            <w:hideMark/>
          </w:tcPr>
          <w:p w14:paraId="3F7C5A3F"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209F0293"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c>
          <w:tcPr>
            <w:tcW w:w="0" w:type="auto"/>
            <w:shd w:val="clear" w:color="auto" w:fill="FF3300"/>
            <w:noWrap/>
            <w:vAlign w:val="bottom"/>
            <w:hideMark/>
          </w:tcPr>
          <w:p w14:paraId="0F327328" w14:textId="77777777" w:rsidR="00674CF6" w:rsidRPr="00276EB9" w:rsidRDefault="00674CF6" w:rsidP="002B2A04">
            <w:pPr>
              <w:spacing w:after="0" w:line="240" w:lineRule="auto"/>
              <w:contextualSpacing/>
              <w:rPr>
                <w:rFonts w:cs="Arial"/>
                <w:sz w:val="16"/>
                <w:lang w:val="en-US"/>
              </w:rPr>
            </w:pPr>
            <w:r w:rsidRPr="00276EB9">
              <w:rPr>
                <w:rFonts w:cs="Arial"/>
                <w:sz w:val="16"/>
                <w:lang w:val="en-US"/>
              </w:rPr>
              <w:t> </w:t>
            </w:r>
          </w:p>
        </w:tc>
      </w:tr>
    </w:tbl>
    <w:p w14:paraId="3547EB0D" w14:textId="77777777" w:rsidR="00674CF6" w:rsidRPr="00276EB9" w:rsidRDefault="00674CF6" w:rsidP="00674CF6">
      <w:pPr>
        <w:rPr>
          <w:sz w:val="16"/>
          <w:szCs w:val="16"/>
          <w:lang w:val="en-US"/>
        </w:rPr>
      </w:pPr>
    </w:p>
    <w:tbl>
      <w:tblPr>
        <w:tblStyle w:val="Tabel-Gitter"/>
        <w:tblW w:w="0" w:type="auto"/>
        <w:tblLook w:val="04A0" w:firstRow="1" w:lastRow="0" w:firstColumn="1" w:lastColumn="0" w:noHBand="0" w:noVBand="1"/>
      </w:tblPr>
      <w:tblGrid>
        <w:gridCol w:w="675"/>
        <w:gridCol w:w="3715"/>
      </w:tblGrid>
      <w:tr w:rsidR="00674CF6" w:rsidRPr="00276EB9" w14:paraId="0DA56276" w14:textId="77777777" w:rsidTr="002B2A04">
        <w:trPr>
          <w:trHeight w:hRule="exact" w:val="340"/>
        </w:trPr>
        <w:tc>
          <w:tcPr>
            <w:tcW w:w="675" w:type="dxa"/>
            <w:shd w:val="clear" w:color="auto" w:fill="D5DCE4" w:themeFill="text2" w:themeFillTint="33"/>
          </w:tcPr>
          <w:p w14:paraId="23111755" w14:textId="77777777" w:rsidR="00674CF6" w:rsidRPr="00276EB9" w:rsidRDefault="00674CF6" w:rsidP="002B2A04">
            <w:pPr>
              <w:rPr>
                <w:lang w:val="en-US"/>
              </w:rPr>
            </w:pPr>
          </w:p>
        </w:tc>
        <w:tc>
          <w:tcPr>
            <w:tcW w:w="3715" w:type="dxa"/>
            <w:vAlign w:val="center"/>
          </w:tcPr>
          <w:p w14:paraId="61B8E7E7" w14:textId="77777777" w:rsidR="00674CF6" w:rsidRPr="00276EB9" w:rsidRDefault="00674CF6" w:rsidP="002B2A04">
            <w:pPr>
              <w:rPr>
                <w:sz w:val="18"/>
                <w:szCs w:val="18"/>
                <w:lang w:val="en-US"/>
              </w:rPr>
            </w:pPr>
            <w:r>
              <w:rPr>
                <w:sz w:val="18"/>
                <w:szCs w:val="18"/>
                <w:lang w:val="en-US"/>
              </w:rPr>
              <w:t>Not available</w:t>
            </w:r>
          </w:p>
        </w:tc>
      </w:tr>
      <w:tr w:rsidR="00674CF6" w:rsidRPr="00276EB9" w14:paraId="40447894" w14:textId="77777777" w:rsidTr="002B2A04">
        <w:trPr>
          <w:trHeight w:hRule="exact" w:val="340"/>
        </w:trPr>
        <w:tc>
          <w:tcPr>
            <w:tcW w:w="675" w:type="dxa"/>
            <w:shd w:val="clear" w:color="auto" w:fill="92D050"/>
          </w:tcPr>
          <w:p w14:paraId="1CBEFEAB" w14:textId="77777777" w:rsidR="00674CF6" w:rsidRPr="00276EB9" w:rsidRDefault="00674CF6" w:rsidP="002B2A04">
            <w:pPr>
              <w:rPr>
                <w:lang w:val="en-US"/>
              </w:rPr>
            </w:pPr>
          </w:p>
        </w:tc>
        <w:tc>
          <w:tcPr>
            <w:tcW w:w="3715" w:type="dxa"/>
            <w:vAlign w:val="center"/>
          </w:tcPr>
          <w:p w14:paraId="663CA9A1" w14:textId="77777777" w:rsidR="00674CF6" w:rsidRPr="00276EB9" w:rsidRDefault="00674CF6" w:rsidP="002B2A04">
            <w:pPr>
              <w:rPr>
                <w:sz w:val="18"/>
                <w:szCs w:val="18"/>
                <w:lang w:val="en-US"/>
              </w:rPr>
            </w:pPr>
            <w:r>
              <w:rPr>
                <w:sz w:val="18"/>
                <w:szCs w:val="18"/>
                <w:lang w:val="en-US"/>
              </w:rPr>
              <w:t>Data available</w:t>
            </w:r>
          </w:p>
        </w:tc>
      </w:tr>
      <w:tr w:rsidR="00674CF6" w:rsidRPr="004E1DFF" w14:paraId="5BAE4C92" w14:textId="77777777" w:rsidTr="002B2A04">
        <w:trPr>
          <w:trHeight w:hRule="exact" w:val="340"/>
        </w:trPr>
        <w:tc>
          <w:tcPr>
            <w:tcW w:w="675" w:type="dxa"/>
            <w:shd w:val="clear" w:color="auto" w:fill="FFC000"/>
          </w:tcPr>
          <w:p w14:paraId="1DD29F9B" w14:textId="77777777" w:rsidR="00674CF6" w:rsidRPr="00276EB9" w:rsidRDefault="00674CF6" w:rsidP="002B2A04">
            <w:pPr>
              <w:rPr>
                <w:lang w:val="en-US"/>
              </w:rPr>
            </w:pPr>
          </w:p>
        </w:tc>
        <w:tc>
          <w:tcPr>
            <w:tcW w:w="3715" w:type="dxa"/>
            <w:vAlign w:val="center"/>
          </w:tcPr>
          <w:p w14:paraId="3441CEFB" w14:textId="77777777" w:rsidR="00674CF6" w:rsidRPr="004E1DFF" w:rsidRDefault="00674CF6" w:rsidP="002B2A04">
            <w:pPr>
              <w:rPr>
                <w:sz w:val="18"/>
                <w:szCs w:val="18"/>
                <w:lang w:val="en-US"/>
              </w:rPr>
            </w:pPr>
            <w:r>
              <w:rPr>
                <w:sz w:val="18"/>
                <w:szCs w:val="18"/>
                <w:lang w:val="en-US"/>
              </w:rPr>
              <w:t>Available, but not calculated</w:t>
            </w:r>
          </w:p>
        </w:tc>
      </w:tr>
      <w:tr w:rsidR="00674CF6" w:rsidRPr="004E1DFF" w14:paraId="7CE98B7F" w14:textId="77777777" w:rsidTr="002B2A04">
        <w:trPr>
          <w:trHeight w:hRule="exact" w:val="340"/>
        </w:trPr>
        <w:tc>
          <w:tcPr>
            <w:tcW w:w="675" w:type="dxa"/>
            <w:shd w:val="clear" w:color="auto" w:fill="FF3300"/>
          </w:tcPr>
          <w:p w14:paraId="48BC71A1" w14:textId="77777777" w:rsidR="00674CF6" w:rsidRPr="004E1DFF" w:rsidRDefault="00674CF6" w:rsidP="002B2A04">
            <w:pPr>
              <w:rPr>
                <w:lang w:val="en-US"/>
              </w:rPr>
            </w:pPr>
          </w:p>
        </w:tc>
        <w:tc>
          <w:tcPr>
            <w:tcW w:w="3715" w:type="dxa"/>
            <w:vAlign w:val="center"/>
          </w:tcPr>
          <w:p w14:paraId="005FF93F" w14:textId="77777777" w:rsidR="00674CF6" w:rsidRPr="004E1DFF" w:rsidRDefault="00674CF6" w:rsidP="002B2A04">
            <w:pPr>
              <w:rPr>
                <w:sz w:val="18"/>
                <w:szCs w:val="18"/>
                <w:lang w:val="en-US"/>
              </w:rPr>
            </w:pPr>
            <w:r w:rsidRPr="004E1DFF">
              <w:rPr>
                <w:sz w:val="18"/>
                <w:szCs w:val="18"/>
                <w:lang w:val="en-US"/>
              </w:rPr>
              <w:t>Available, but not easily calculated</w:t>
            </w:r>
          </w:p>
        </w:tc>
      </w:tr>
    </w:tbl>
    <w:p w14:paraId="26998E63" w14:textId="77777777" w:rsidR="00674CF6" w:rsidRDefault="00674CF6" w:rsidP="00674CF6">
      <w:pPr>
        <w:rPr>
          <w:rFonts w:ascii="Arial" w:hAnsi="Arial" w:cs="Arial"/>
          <w:sz w:val="24"/>
          <w:szCs w:val="24"/>
          <w:lang w:val="en-GB"/>
        </w:rPr>
      </w:pPr>
      <w:r>
        <w:rPr>
          <w:rFonts w:ascii="Arial" w:hAnsi="Arial" w:cs="Arial"/>
          <w:sz w:val="24"/>
          <w:szCs w:val="24"/>
          <w:lang w:val="en-GB"/>
        </w:rPr>
        <w:br w:type="page"/>
      </w:r>
    </w:p>
    <w:p w14:paraId="7BBC9A85" w14:textId="57F41A07" w:rsidR="00674CF6" w:rsidRDefault="00674CF6" w:rsidP="00674CF6">
      <w:pPr>
        <w:spacing w:before="360" w:after="0" w:line="360" w:lineRule="auto"/>
        <w:jc w:val="both"/>
        <w:rPr>
          <w:rFonts w:ascii="Arial" w:hAnsi="Arial" w:cs="Arial"/>
          <w:sz w:val="24"/>
          <w:szCs w:val="24"/>
          <w:lang w:val="en-US"/>
        </w:rPr>
      </w:pPr>
      <w:r>
        <w:rPr>
          <w:rFonts w:ascii="Arial" w:hAnsi="Arial" w:cs="Arial"/>
          <w:sz w:val="24"/>
          <w:szCs w:val="24"/>
          <w:lang w:val="en-GB"/>
        </w:rPr>
        <w:lastRenderedPageBreak/>
        <w:t>In the research community there has been a lot of criticism against the commonly used indicators to monitor consumption and production. A common objection is that the indicators focus to</w:t>
      </w:r>
      <w:r w:rsidR="009B6941">
        <w:rPr>
          <w:rFonts w:ascii="Arial" w:hAnsi="Arial" w:cs="Arial"/>
          <w:sz w:val="24"/>
          <w:szCs w:val="24"/>
          <w:lang w:val="en-GB"/>
        </w:rPr>
        <w:t>o</w:t>
      </w:r>
      <w:r>
        <w:rPr>
          <w:rFonts w:ascii="Arial" w:hAnsi="Arial" w:cs="Arial"/>
          <w:sz w:val="24"/>
          <w:szCs w:val="24"/>
          <w:lang w:val="en-GB"/>
        </w:rPr>
        <w:t xml:space="preserve"> much on the end of the production-consumption chain (e.g. Waste management) instead of focusing on reducing the actual consumption volumes, see e.g. </w:t>
      </w:r>
      <w:r w:rsidRPr="00681DE7">
        <w:rPr>
          <w:rFonts w:ascii="Arial" w:hAnsi="Arial" w:cs="Arial"/>
          <w:sz w:val="24"/>
          <w:szCs w:val="24"/>
          <w:lang w:val="en-GB"/>
        </w:rPr>
        <w:t xml:space="preserve">Alfredsson et al (2018), </w:t>
      </w:r>
      <w:r w:rsidRPr="00681DE7">
        <w:rPr>
          <w:rFonts w:ascii="Arial" w:hAnsi="Arial" w:cs="Arial"/>
          <w:sz w:val="24"/>
          <w:szCs w:val="24"/>
          <w:lang w:val="en-US"/>
        </w:rPr>
        <w:t>Chan et al (2018)</w:t>
      </w:r>
      <w:r>
        <w:rPr>
          <w:rFonts w:ascii="Arial" w:hAnsi="Arial" w:cs="Arial"/>
          <w:sz w:val="24"/>
          <w:szCs w:val="24"/>
          <w:lang w:val="en-US"/>
        </w:rPr>
        <w:t xml:space="preserve">. </w:t>
      </w:r>
    </w:p>
    <w:p w14:paraId="65E3EB9D" w14:textId="77777777" w:rsidR="00FB2A46" w:rsidRDefault="009D5E72" w:rsidP="00FB2A46">
      <w:pPr>
        <w:spacing w:before="360" w:after="0" w:line="360" w:lineRule="auto"/>
        <w:jc w:val="both"/>
        <w:rPr>
          <w:rFonts w:ascii="Arial" w:hAnsi="Arial" w:cs="Arial"/>
          <w:sz w:val="24"/>
          <w:szCs w:val="24"/>
          <w:lang w:val="en-US"/>
        </w:rPr>
      </w:pPr>
      <w:r>
        <w:rPr>
          <w:rFonts w:ascii="Arial" w:hAnsi="Arial" w:cs="Arial"/>
          <w:sz w:val="24"/>
          <w:szCs w:val="24"/>
          <w:lang w:val="en-US"/>
        </w:rPr>
        <w:t>Among the UN</w:t>
      </w:r>
      <w:r w:rsidR="00EA5C6A">
        <w:rPr>
          <w:rFonts w:ascii="Arial" w:hAnsi="Arial" w:cs="Arial"/>
          <w:sz w:val="24"/>
          <w:szCs w:val="24"/>
          <w:lang w:val="en-US"/>
        </w:rPr>
        <w:t xml:space="preserve"> </w:t>
      </w:r>
      <w:r>
        <w:rPr>
          <w:rFonts w:ascii="Arial" w:hAnsi="Arial" w:cs="Arial"/>
          <w:sz w:val="24"/>
          <w:szCs w:val="24"/>
          <w:lang w:val="en-US"/>
        </w:rPr>
        <w:t xml:space="preserve">indicators for SDG 12 the indicators for food loss (12.3.1) and sustainable tourism (12.B.1) and public procurement (12.7.1) are areas where the Nordic countries </w:t>
      </w:r>
      <w:r w:rsidR="00014C5C">
        <w:rPr>
          <w:rFonts w:ascii="Arial" w:hAnsi="Arial" w:cs="Arial"/>
          <w:sz w:val="24"/>
          <w:szCs w:val="24"/>
          <w:lang w:val="en-US"/>
        </w:rPr>
        <w:t xml:space="preserve">could </w:t>
      </w:r>
      <w:r>
        <w:rPr>
          <w:rFonts w:ascii="Arial" w:hAnsi="Arial" w:cs="Arial"/>
          <w:sz w:val="24"/>
          <w:szCs w:val="24"/>
          <w:lang w:val="en-US"/>
        </w:rPr>
        <w:t>have good opportunities to take a leading role in the development of good international indicators.</w:t>
      </w:r>
      <w:r w:rsidR="00FB2A46" w:rsidRPr="00FB2A46">
        <w:rPr>
          <w:rFonts w:ascii="Arial" w:hAnsi="Arial" w:cs="Arial"/>
          <w:sz w:val="24"/>
          <w:szCs w:val="24"/>
          <w:lang w:val="en-US"/>
        </w:rPr>
        <w:t xml:space="preserve"> </w:t>
      </w:r>
    </w:p>
    <w:p w14:paraId="7621C4B9" w14:textId="146EC9D6" w:rsidR="00FB2A46" w:rsidRDefault="00FB2A46" w:rsidP="00FB2A46">
      <w:pPr>
        <w:spacing w:before="360" w:after="0" w:line="360" w:lineRule="auto"/>
        <w:jc w:val="both"/>
        <w:rPr>
          <w:rFonts w:ascii="Arial" w:hAnsi="Arial" w:cs="Arial"/>
          <w:sz w:val="24"/>
          <w:szCs w:val="24"/>
          <w:lang w:val="en-US"/>
        </w:rPr>
      </w:pPr>
      <w:r>
        <w:rPr>
          <w:rFonts w:ascii="Arial" w:hAnsi="Arial" w:cs="Arial"/>
          <w:sz w:val="24"/>
          <w:szCs w:val="24"/>
          <w:lang w:val="en-US"/>
        </w:rPr>
        <w:t xml:space="preserve">Hence, a possible area for the future collaboration between the Nordic countries in the development of indicators could be Nordic statistics on e.g. </w:t>
      </w:r>
    </w:p>
    <w:p w14:paraId="0884DF8D" w14:textId="77777777" w:rsidR="00FB2A46" w:rsidRPr="0017224A" w:rsidRDefault="00FB2A46" w:rsidP="00FB2A46">
      <w:pPr>
        <w:pStyle w:val="Listeafsnit"/>
        <w:numPr>
          <w:ilvl w:val="0"/>
          <w:numId w:val="21"/>
        </w:numPr>
        <w:spacing w:before="360" w:after="0" w:line="360" w:lineRule="auto"/>
        <w:jc w:val="both"/>
        <w:rPr>
          <w:rFonts w:ascii="Arial" w:hAnsi="Arial" w:cs="Arial"/>
          <w:sz w:val="24"/>
          <w:szCs w:val="24"/>
          <w:lang w:val="en-US"/>
        </w:rPr>
      </w:pPr>
      <w:r w:rsidRPr="0017224A">
        <w:rPr>
          <w:rFonts w:ascii="Arial" w:hAnsi="Arial" w:cs="Arial"/>
          <w:sz w:val="24"/>
          <w:szCs w:val="24"/>
          <w:lang w:val="en-US"/>
        </w:rPr>
        <w:t xml:space="preserve">meat-consumption, </w:t>
      </w:r>
    </w:p>
    <w:p w14:paraId="6C80DEE4" w14:textId="77777777" w:rsidR="00FB2A46" w:rsidRPr="0017224A" w:rsidRDefault="00FB2A46" w:rsidP="00FB2A46">
      <w:pPr>
        <w:pStyle w:val="Listeafsnit"/>
        <w:numPr>
          <w:ilvl w:val="0"/>
          <w:numId w:val="21"/>
        </w:numPr>
        <w:spacing w:before="360" w:after="0" w:line="360" w:lineRule="auto"/>
        <w:jc w:val="both"/>
        <w:rPr>
          <w:rFonts w:ascii="Arial" w:hAnsi="Arial" w:cs="Arial"/>
          <w:sz w:val="24"/>
          <w:szCs w:val="24"/>
          <w:lang w:val="en-US"/>
        </w:rPr>
      </w:pPr>
      <w:r w:rsidRPr="0017224A">
        <w:rPr>
          <w:rFonts w:ascii="Arial" w:hAnsi="Arial" w:cs="Arial"/>
          <w:sz w:val="24"/>
          <w:szCs w:val="24"/>
          <w:lang w:val="en-US"/>
        </w:rPr>
        <w:t xml:space="preserve">transport </w:t>
      </w:r>
    </w:p>
    <w:p w14:paraId="26F3B349" w14:textId="77777777" w:rsidR="00FB2A46" w:rsidRPr="0017224A" w:rsidRDefault="00FB2A46" w:rsidP="00FB2A46">
      <w:pPr>
        <w:pStyle w:val="Listeafsnit"/>
        <w:numPr>
          <w:ilvl w:val="0"/>
          <w:numId w:val="21"/>
        </w:numPr>
        <w:spacing w:before="360" w:after="0" w:line="360" w:lineRule="auto"/>
        <w:jc w:val="both"/>
        <w:rPr>
          <w:rFonts w:ascii="Arial" w:hAnsi="Arial" w:cs="Arial"/>
          <w:sz w:val="24"/>
          <w:szCs w:val="24"/>
          <w:lang w:val="en-US"/>
        </w:rPr>
      </w:pPr>
      <w:r w:rsidRPr="0017224A">
        <w:rPr>
          <w:rFonts w:ascii="Arial" w:hAnsi="Arial" w:cs="Arial"/>
          <w:sz w:val="24"/>
          <w:szCs w:val="24"/>
          <w:lang w:val="en-US"/>
        </w:rPr>
        <w:t xml:space="preserve">travel statistics </w:t>
      </w:r>
    </w:p>
    <w:p w14:paraId="6E31C511" w14:textId="77777777" w:rsidR="00FB2A46" w:rsidRPr="0017224A" w:rsidRDefault="00FB2A46" w:rsidP="00FB2A46">
      <w:pPr>
        <w:pStyle w:val="Listeafsnit"/>
        <w:numPr>
          <w:ilvl w:val="0"/>
          <w:numId w:val="21"/>
        </w:numPr>
        <w:spacing w:before="360" w:after="0" w:line="360" w:lineRule="auto"/>
        <w:jc w:val="both"/>
        <w:rPr>
          <w:rFonts w:ascii="Arial" w:hAnsi="Arial" w:cs="Arial"/>
          <w:sz w:val="24"/>
          <w:szCs w:val="24"/>
          <w:lang w:val="en-US"/>
        </w:rPr>
      </w:pPr>
      <w:r w:rsidRPr="0017224A">
        <w:rPr>
          <w:rFonts w:ascii="Arial" w:hAnsi="Arial" w:cs="Arial"/>
          <w:sz w:val="24"/>
          <w:szCs w:val="24"/>
          <w:lang w:val="en-US"/>
        </w:rPr>
        <w:t xml:space="preserve">and other important consumption patterns. </w:t>
      </w:r>
    </w:p>
    <w:p w14:paraId="6BCE88A5" w14:textId="6439CBF3" w:rsidR="00FE3C81" w:rsidRDefault="00FE3C81" w:rsidP="009F7C71">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681DE7">
        <w:rPr>
          <w:rFonts w:ascii="Arial" w:hAnsi="Arial" w:cs="Arial"/>
          <w:i/>
          <w:sz w:val="24"/>
          <w:szCs w:val="24"/>
          <w:lang w:val="en-GB"/>
        </w:rPr>
        <w:t>.</w:t>
      </w:r>
      <w:r>
        <w:rPr>
          <w:rFonts w:ascii="Arial" w:hAnsi="Arial" w:cs="Arial"/>
          <w:i/>
          <w:sz w:val="24"/>
          <w:szCs w:val="24"/>
          <w:lang w:val="en-GB"/>
        </w:rPr>
        <w:t>4</w:t>
      </w:r>
      <w:r w:rsidRPr="00681DE7">
        <w:rPr>
          <w:rFonts w:ascii="Arial" w:hAnsi="Arial" w:cs="Arial"/>
          <w:i/>
          <w:sz w:val="24"/>
          <w:szCs w:val="24"/>
          <w:lang w:val="en-GB"/>
        </w:rPr>
        <w:t>.</w:t>
      </w:r>
      <w:r>
        <w:rPr>
          <w:rFonts w:ascii="Arial" w:hAnsi="Arial" w:cs="Arial"/>
          <w:i/>
          <w:sz w:val="24"/>
          <w:szCs w:val="24"/>
          <w:lang w:val="en-GB"/>
        </w:rPr>
        <w:t>2</w:t>
      </w:r>
      <w:r w:rsidRPr="00681DE7">
        <w:rPr>
          <w:rFonts w:ascii="Arial" w:hAnsi="Arial" w:cs="Arial"/>
          <w:i/>
          <w:sz w:val="24"/>
          <w:szCs w:val="24"/>
          <w:lang w:val="en-GB"/>
        </w:rPr>
        <w:t xml:space="preserve"> </w:t>
      </w:r>
      <w:r>
        <w:rPr>
          <w:rFonts w:ascii="Arial" w:hAnsi="Arial" w:cs="Arial"/>
          <w:i/>
          <w:sz w:val="24"/>
          <w:szCs w:val="24"/>
          <w:lang w:val="en-GB"/>
        </w:rPr>
        <w:t>Challenges</w:t>
      </w:r>
    </w:p>
    <w:p w14:paraId="0F100F9D" w14:textId="04519140" w:rsidR="00FE3C81" w:rsidRDefault="00FE3C81" w:rsidP="009F7C71">
      <w:pPr>
        <w:spacing w:before="360" w:after="0" w:line="360" w:lineRule="auto"/>
        <w:jc w:val="both"/>
        <w:rPr>
          <w:rFonts w:ascii="Arial" w:hAnsi="Arial" w:cs="Arial"/>
          <w:sz w:val="24"/>
          <w:szCs w:val="24"/>
          <w:lang w:val="en-GB"/>
        </w:rPr>
      </w:pPr>
      <w:r>
        <w:rPr>
          <w:rFonts w:ascii="Arial" w:hAnsi="Arial" w:cs="Arial"/>
          <w:sz w:val="24"/>
          <w:szCs w:val="24"/>
          <w:lang w:val="en-GB"/>
        </w:rPr>
        <w:t>A challenge for a Nordic focus and development of indicators at a Nordic level is that each country prioritize</w:t>
      </w:r>
      <w:r w:rsidR="00EB5583">
        <w:rPr>
          <w:rFonts w:ascii="Arial" w:hAnsi="Arial" w:cs="Arial"/>
          <w:sz w:val="24"/>
          <w:szCs w:val="24"/>
          <w:lang w:val="en-GB"/>
        </w:rPr>
        <w:t>s</w:t>
      </w:r>
      <w:r>
        <w:rPr>
          <w:rFonts w:ascii="Arial" w:hAnsi="Arial" w:cs="Arial"/>
          <w:sz w:val="24"/>
          <w:szCs w:val="24"/>
          <w:lang w:val="en-GB"/>
        </w:rPr>
        <w:t xml:space="preserve"> their development of national indicators and monitoring their own progress. There are also requirements to report to Eurostat, UN and other international organizations. Hence, there is little time and resources to also focus and collaborate at the Nordic level. </w:t>
      </w:r>
      <w:r w:rsidR="00F242E1">
        <w:rPr>
          <w:rFonts w:ascii="Arial" w:hAnsi="Arial" w:cs="Arial"/>
          <w:sz w:val="24"/>
          <w:szCs w:val="24"/>
          <w:lang w:val="en-GB"/>
        </w:rPr>
        <w:t>However, t</w:t>
      </w:r>
      <w:r>
        <w:rPr>
          <w:rFonts w:ascii="Arial" w:hAnsi="Arial" w:cs="Arial"/>
          <w:sz w:val="24"/>
          <w:szCs w:val="24"/>
          <w:lang w:val="en-GB"/>
        </w:rPr>
        <w:t>he Nordic NSI:s do collaborate and share experiences regarding indicators related to Agenda 2030 but the main focus is to fulfil the national requirements.</w:t>
      </w:r>
      <w:r w:rsidR="00F242E1">
        <w:rPr>
          <w:rFonts w:ascii="Arial" w:hAnsi="Arial" w:cs="Arial"/>
          <w:sz w:val="24"/>
          <w:szCs w:val="24"/>
          <w:lang w:val="en-GB"/>
        </w:rPr>
        <w:t xml:space="preserve"> There is not a strong focus to e.g. harmonize the definitions between the Nordic countries. </w:t>
      </w:r>
    </w:p>
    <w:p w14:paraId="5BECB53F" w14:textId="67204D41" w:rsidR="00F242E1" w:rsidRDefault="00F242E1" w:rsidP="009F7C71">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continuous development and an increased use of the Nordic database, hosted by the Nordic council of ministers, could be a way to enhance a Nordic perspective of suitable indicators. The development and use of the database should also facilitate a harmonization of the definitions </w:t>
      </w:r>
      <w:r w:rsidR="00EB3A68">
        <w:rPr>
          <w:rFonts w:ascii="Arial" w:hAnsi="Arial" w:cs="Arial"/>
          <w:sz w:val="24"/>
          <w:szCs w:val="24"/>
          <w:lang w:val="en-GB"/>
        </w:rPr>
        <w:t>of</w:t>
      </w:r>
      <w:r>
        <w:rPr>
          <w:rFonts w:ascii="Arial" w:hAnsi="Arial" w:cs="Arial"/>
          <w:sz w:val="24"/>
          <w:szCs w:val="24"/>
          <w:lang w:val="en-GB"/>
        </w:rPr>
        <w:t xml:space="preserve"> indicators used in the different Nordic countries.</w:t>
      </w:r>
    </w:p>
    <w:p w14:paraId="58BFB987" w14:textId="40E37AE5" w:rsidR="00CF1F8D" w:rsidRPr="00CF1F8D" w:rsidRDefault="00AD70AF" w:rsidP="009F7C71">
      <w:pPr>
        <w:spacing w:before="360" w:after="0" w:line="360" w:lineRule="auto"/>
        <w:jc w:val="both"/>
        <w:rPr>
          <w:rFonts w:ascii="Arial" w:hAnsi="Arial" w:cs="Arial"/>
          <w:sz w:val="24"/>
          <w:szCs w:val="24"/>
          <w:lang w:val="en-GB"/>
        </w:rPr>
      </w:pPr>
      <w:r w:rsidRPr="00CF1F8D">
        <w:rPr>
          <w:rFonts w:ascii="Arial" w:hAnsi="Arial" w:cs="Arial"/>
          <w:sz w:val="24"/>
          <w:szCs w:val="24"/>
          <w:lang w:val="en-GB"/>
        </w:rPr>
        <w:lastRenderedPageBreak/>
        <w:t xml:space="preserve">Another way for the </w:t>
      </w:r>
      <w:r w:rsidR="00CF1F8D" w:rsidRPr="00CF1F8D">
        <w:rPr>
          <w:rFonts w:ascii="Arial" w:hAnsi="Arial" w:cs="Arial"/>
          <w:sz w:val="24"/>
          <w:szCs w:val="24"/>
          <w:lang w:val="en-GB"/>
        </w:rPr>
        <w:t xml:space="preserve">Nordic council of ministers to assist </w:t>
      </w:r>
      <w:r w:rsidRPr="00CF1F8D">
        <w:rPr>
          <w:rFonts w:ascii="Arial" w:hAnsi="Arial" w:cs="Arial"/>
          <w:sz w:val="24"/>
          <w:szCs w:val="24"/>
          <w:lang w:val="en-GB"/>
        </w:rPr>
        <w:t xml:space="preserve">the Nordic NSI:s is to produce statistics </w:t>
      </w:r>
      <w:r w:rsidR="00CF1F8D" w:rsidRPr="00CF1F8D">
        <w:rPr>
          <w:rFonts w:ascii="Arial" w:hAnsi="Arial" w:cs="Arial"/>
          <w:sz w:val="24"/>
          <w:szCs w:val="24"/>
          <w:lang w:val="en-GB"/>
        </w:rPr>
        <w:t xml:space="preserve">aggregated at the Nordic level which can enhance the international awareness of the development in the Nordic countries and region. </w:t>
      </w:r>
    </w:p>
    <w:p w14:paraId="444850D2" w14:textId="77777777" w:rsidR="006B1F86" w:rsidRPr="00673619" w:rsidRDefault="00C005A9" w:rsidP="00673619">
      <w:pPr>
        <w:pStyle w:val="Listeafsnit"/>
        <w:numPr>
          <w:ilvl w:val="0"/>
          <w:numId w:val="8"/>
        </w:numPr>
        <w:spacing w:before="360" w:after="0" w:line="360" w:lineRule="auto"/>
        <w:ind w:left="426"/>
        <w:jc w:val="both"/>
        <w:rPr>
          <w:rFonts w:ascii="Arial" w:hAnsi="Arial" w:cs="Arial"/>
          <w:b/>
          <w:sz w:val="24"/>
          <w:szCs w:val="24"/>
          <w:lang w:val="en-GB"/>
        </w:rPr>
      </w:pPr>
      <w:r w:rsidRPr="00673619">
        <w:rPr>
          <w:rFonts w:ascii="Arial" w:hAnsi="Arial" w:cs="Arial"/>
          <w:b/>
          <w:sz w:val="24"/>
          <w:szCs w:val="24"/>
          <w:lang w:val="en-GB"/>
        </w:rPr>
        <w:t>Conclusion</w:t>
      </w:r>
      <w:r w:rsidR="00066017" w:rsidRPr="00673619">
        <w:rPr>
          <w:rFonts w:ascii="Arial" w:hAnsi="Arial" w:cs="Arial"/>
          <w:b/>
          <w:sz w:val="24"/>
          <w:szCs w:val="24"/>
          <w:lang w:val="en-GB"/>
        </w:rPr>
        <w:t>s</w:t>
      </w:r>
    </w:p>
    <w:p w14:paraId="3E763A6D" w14:textId="03177E1E" w:rsidR="00C23F65" w:rsidRDefault="009F7C71" w:rsidP="009F7C71">
      <w:pPr>
        <w:spacing w:before="360" w:after="0" w:line="360" w:lineRule="auto"/>
        <w:jc w:val="both"/>
        <w:rPr>
          <w:rFonts w:ascii="Arial" w:hAnsi="Arial" w:cs="Arial"/>
          <w:bCs/>
          <w:sz w:val="24"/>
          <w:szCs w:val="24"/>
          <w:lang w:val="en-GB"/>
        </w:rPr>
      </w:pPr>
      <w:r>
        <w:rPr>
          <w:rFonts w:ascii="Arial" w:hAnsi="Arial" w:cs="Arial"/>
          <w:sz w:val="24"/>
          <w:szCs w:val="24"/>
          <w:lang w:val="en-US"/>
        </w:rPr>
        <w:t xml:space="preserve">In the analysis of indicators used to monitor the </w:t>
      </w:r>
      <w:r w:rsidRPr="00681DE7">
        <w:rPr>
          <w:rFonts w:ascii="Arial" w:hAnsi="Arial" w:cs="Arial"/>
          <w:bCs/>
          <w:sz w:val="24"/>
          <w:szCs w:val="24"/>
          <w:lang w:val="en-GB"/>
        </w:rPr>
        <w:t>Nordic strategy for sustainable development</w:t>
      </w:r>
      <w:r>
        <w:rPr>
          <w:rFonts w:ascii="Arial" w:hAnsi="Arial" w:cs="Arial"/>
          <w:bCs/>
          <w:sz w:val="24"/>
          <w:szCs w:val="24"/>
          <w:lang w:val="en-GB"/>
        </w:rPr>
        <w:t xml:space="preserve"> several issues arise. In the first analysis</w:t>
      </w:r>
      <w:r w:rsidR="00EB3A68">
        <w:rPr>
          <w:rFonts w:ascii="Arial" w:hAnsi="Arial" w:cs="Arial"/>
          <w:bCs/>
          <w:sz w:val="24"/>
          <w:szCs w:val="24"/>
          <w:lang w:val="en-GB"/>
        </w:rPr>
        <w:t>,</w:t>
      </w:r>
      <w:r>
        <w:rPr>
          <w:rFonts w:ascii="Arial" w:hAnsi="Arial" w:cs="Arial"/>
          <w:bCs/>
          <w:sz w:val="24"/>
          <w:szCs w:val="24"/>
          <w:lang w:val="en-GB"/>
        </w:rPr>
        <w:t xml:space="preserve"> comparing these indicators with the SDGs in Agenda 2030</w:t>
      </w:r>
      <w:r w:rsidR="00EB3A68">
        <w:rPr>
          <w:rFonts w:ascii="Arial" w:hAnsi="Arial" w:cs="Arial"/>
          <w:bCs/>
          <w:sz w:val="24"/>
          <w:szCs w:val="24"/>
          <w:lang w:val="en-GB"/>
        </w:rPr>
        <w:t>,</w:t>
      </w:r>
      <w:r>
        <w:rPr>
          <w:rFonts w:ascii="Arial" w:hAnsi="Arial" w:cs="Arial"/>
          <w:bCs/>
          <w:sz w:val="24"/>
          <w:szCs w:val="24"/>
          <w:lang w:val="en-GB"/>
        </w:rPr>
        <w:t xml:space="preserve"> it was evident that the two</w:t>
      </w:r>
      <w:r w:rsidR="00EA5C6A">
        <w:rPr>
          <w:rFonts w:ascii="Arial" w:hAnsi="Arial" w:cs="Arial"/>
          <w:bCs/>
          <w:sz w:val="24"/>
          <w:szCs w:val="24"/>
          <w:lang w:val="en-GB"/>
        </w:rPr>
        <w:t xml:space="preserve"> only ‘map’ partially</w:t>
      </w:r>
      <w:r>
        <w:rPr>
          <w:rFonts w:ascii="Arial" w:hAnsi="Arial" w:cs="Arial"/>
          <w:bCs/>
          <w:sz w:val="24"/>
          <w:szCs w:val="24"/>
          <w:lang w:val="en-GB"/>
        </w:rPr>
        <w:t>. This</w:t>
      </w:r>
      <w:r w:rsidR="00E42F65">
        <w:rPr>
          <w:rFonts w:ascii="Arial" w:hAnsi="Arial" w:cs="Arial"/>
          <w:bCs/>
          <w:sz w:val="24"/>
          <w:szCs w:val="24"/>
          <w:lang w:val="en-GB"/>
        </w:rPr>
        <w:t xml:space="preserve"> </w:t>
      </w:r>
      <w:r>
        <w:rPr>
          <w:rFonts w:ascii="Arial" w:hAnsi="Arial" w:cs="Arial"/>
          <w:bCs/>
          <w:sz w:val="24"/>
          <w:szCs w:val="24"/>
          <w:lang w:val="en-GB"/>
        </w:rPr>
        <w:t xml:space="preserve">is not surprising since the Nordic indicators have a Nordic focus while the Agenda 2030 has a global focus. </w:t>
      </w:r>
      <w:r w:rsidR="00E42F65">
        <w:rPr>
          <w:rFonts w:ascii="Arial" w:hAnsi="Arial" w:cs="Arial"/>
          <w:bCs/>
          <w:sz w:val="24"/>
          <w:szCs w:val="24"/>
          <w:lang w:val="en-GB"/>
        </w:rPr>
        <w:t>However, m</w:t>
      </w:r>
      <w:r w:rsidR="00C23F65">
        <w:rPr>
          <w:rFonts w:ascii="Arial" w:hAnsi="Arial" w:cs="Arial"/>
          <w:bCs/>
          <w:sz w:val="24"/>
          <w:szCs w:val="24"/>
          <w:lang w:val="en-GB"/>
        </w:rPr>
        <w:t>any of the Nordic indicator</w:t>
      </w:r>
      <w:r w:rsidR="00E42F65">
        <w:rPr>
          <w:rFonts w:ascii="Arial" w:hAnsi="Arial" w:cs="Arial"/>
          <w:bCs/>
          <w:sz w:val="24"/>
          <w:szCs w:val="24"/>
          <w:lang w:val="en-GB"/>
        </w:rPr>
        <w:t>s</w:t>
      </w:r>
      <w:r w:rsidR="00C23F65">
        <w:rPr>
          <w:rFonts w:ascii="Arial" w:hAnsi="Arial" w:cs="Arial"/>
          <w:bCs/>
          <w:sz w:val="24"/>
          <w:szCs w:val="24"/>
          <w:lang w:val="en-GB"/>
        </w:rPr>
        <w:t xml:space="preserve"> did not map any of the SDG goals</w:t>
      </w:r>
      <w:r w:rsidR="00E42F65">
        <w:rPr>
          <w:rFonts w:ascii="Arial" w:hAnsi="Arial" w:cs="Arial"/>
          <w:bCs/>
          <w:sz w:val="24"/>
          <w:szCs w:val="24"/>
          <w:lang w:val="en-GB"/>
        </w:rPr>
        <w:t>,</w:t>
      </w:r>
      <w:r w:rsidR="00C23F65">
        <w:rPr>
          <w:rFonts w:ascii="Arial" w:hAnsi="Arial" w:cs="Arial"/>
          <w:bCs/>
          <w:sz w:val="24"/>
          <w:szCs w:val="24"/>
          <w:lang w:val="en-GB"/>
        </w:rPr>
        <w:t xml:space="preserve"> which could seem surprising since the Agenda 2030 SDG basically covers all areas of sustainable development. </w:t>
      </w:r>
    </w:p>
    <w:p w14:paraId="58AC4D0D" w14:textId="4AF20D54" w:rsidR="002C3538" w:rsidRDefault="00C23F65" w:rsidP="009F7C71">
      <w:pPr>
        <w:spacing w:before="360" w:after="0" w:line="360" w:lineRule="auto"/>
        <w:jc w:val="both"/>
        <w:rPr>
          <w:rFonts w:ascii="Arial" w:hAnsi="Arial" w:cs="Arial"/>
          <w:bCs/>
          <w:sz w:val="24"/>
          <w:szCs w:val="24"/>
          <w:lang w:val="en-GB"/>
        </w:rPr>
      </w:pPr>
      <w:r>
        <w:rPr>
          <w:rFonts w:ascii="Arial" w:hAnsi="Arial" w:cs="Arial"/>
          <w:bCs/>
          <w:sz w:val="24"/>
          <w:szCs w:val="24"/>
          <w:lang w:val="en-GB"/>
        </w:rPr>
        <w:t>In the study of indicators used to monitor SDG 12, sustainable consumption and production, it was found that different international agencies (and countries) use very different set of indicators. This raised the important issue of how close an indicator needs to be to the original set of UN-indicators to be qualified to be labelled as a</w:t>
      </w:r>
      <w:r w:rsidR="00AD70AF">
        <w:rPr>
          <w:rFonts w:ascii="Arial" w:hAnsi="Arial" w:cs="Arial"/>
          <w:bCs/>
          <w:sz w:val="24"/>
          <w:szCs w:val="24"/>
          <w:lang w:val="en-GB"/>
        </w:rPr>
        <w:t>n</w:t>
      </w:r>
      <w:r>
        <w:rPr>
          <w:rFonts w:ascii="Arial" w:hAnsi="Arial" w:cs="Arial"/>
          <w:bCs/>
          <w:sz w:val="24"/>
          <w:szCs w:val="24"/>
          <w:lang w:val="en-GB"/>
        </w:rPr>
        <w:t xml:space="preserve"> Agenda 2030 SDG 12 indicator. If we only use indicators close to the original definitions this will limit the possible data and statistics to use. If there is too much leeway in the choice of indicators it </w:t>
      </w:r>
      <w:r w:rsidR="00E42F65">
        <w:rPr>
          <w:rFonts w:ascii="Arial" w:hAnsi="Arial" w:cs="Arial"/>
          <w:bCs/>
          <w:sz w:val="24"/>
          <w:szCs w:val="24"/>
          <w:lang w:val="en-GB"/>
        </w:rPr>
        <w:t xml:space="preserve">will </w:t>
      </w:r>
      <w:r>
        <w:rPr>
          <w:rFonts w:ascii="Arial" w:hAnsi="Arial" w:cs="Arial"/>
          <w:bCs/>
          <w:sz w:val="24"/>
          <w:szCs w:val="24"/>
          <w:lang w:val="en-GB"/>
        </w:rPr>
        <w:t xml:space="preserve">diminish the </w:t>
      </w:r>
      <w:r w:rsidR="00E42F65">
        <w:rPr>
          <w:rFonts w:ascii="Arial" w:hAnsi="Arial" w:cs="Arial"/>
          <w:bCs/>
          <w:sz w:val="24"/>
          <w:szCs w:val="24"/>
          <w:lang w:val="en-GB"/>
        </w:rPr>
        <w:t xml:space="preserve">comparability - and possibly the </w:t>
      </w:r>
      <w:r>
        <w:rPr>
          <w:rFonts w:ascii="Arial" w:hAnsi="Arial" w:cs="Arial"/>
          <w:bCs/>
          <w:sz w:val="24"/>
          <w:szCs w:val="24"/>
          <w:lang w:val="en-GB"/>
        </w:rPr>
        <w:t xml:space="preserve">impact of the Agenda 2030. </w:t>
      </w:r>
    </w:p>
    <w:p w14:paraId="6514C350" w14:textId="3CFB1811" w:rsidR="00C23F65" w:rsidRDefault="002C3538" w:rsidP="009F7C71">
      <w:pPr>
        <w:spacing w:before="360" w:after="0" w:line="360" w:lineRule="auto"/>
        <w:jc w:val="both"/>
        <w:rPr>
          <w:rFonts w:ascii="Arial" w:hAnsi="Arial" w:cs="Arial"/>
          <w:bCs/>
          <w:sz w:val="24"/>
          <w:szCs w:val="24"/>
          <w:lang w:val="en-GB"/>
        </w:rPr>
      </w:pPr>
      <w:r>
        <w:rPr>
          <w:rFonts w:ascii="Arial" w:hAnsi="Arial" w:cs="Arial"/>
          <w:bCs/>
          <w:sz w:val="24"/>
          <w:szCs w:val="24"/>
          <w:lang w:val="en-GB"/>
        </w:rPr>
        <w:t xml:space="preserve">A possible way </w:t>
      </w:r>
      <w:r w:rsidR="00F11279">
        <w:rPr>
          <w:rFonts w:ascii="Arial" w:hAnsi="Arial" w:cs="Arial"/>
          <w:bCs/>
          <w:sz w:val="24"/>
          <w:szCs w:val="24"/>
          <w:lang w:val="en-GB"/>
        </w:rPr>
        <w:t>forward</w:t>
      </w:r>
      <w:r w:rsidR="00CB0AEF">
        <w:rPr>
          <w:rFonts w:ascii="Arial" w:hAnsi="Arial" w:cs="Arial"/>
          <w:bCs/>
          <w:sz w:val="24"/>
          <w:szCs w:val="24"/>
          <w:lang w:val="en-GB"/>
        </w:rPr>
        <w:t xml:space="preserve"> </w:t>
      </w:r>
      <w:r w:rsidR="00F11279">
        <w:rPr>
          <w:rFonts w:ascii="Arial" w:hAnsi="Arial" w:cs="Arial"/>
          <w:bCs/>
          <w:sz w:val="24"/>
          <w:szCs w:val="24"/>
          <w:lang w:val="en-GB"/>
        </w:rPr>
        <w:t xml:space="preserve">is an observed room for collaboration between </w:t>
      </w:r>
      <w:r>
        <w:rPr>
          <w:rFonts w:ascii="Arial" w:hAnsi="Arial" w:cs="Arial"/>
          <w:bCs/>
          <w:sz w:val="24"/>
          <w:szCs w:val="24"/>
          <w:lang w:val="en-GB"/>
        </w:rPr>
        <w:t>the Nordic countries in their work with indicators for Agenda 2030</w:t>
      </w:r>
      <w:r w:rsidR="00F11279">
        <w:rPr>
          <w:rFonts w:ascii="Arial" w:hAnsi="Arial" w:cs="Arial"/>
          <w:bCs/>
          <w:sz w:val="24"/>
          <w:szCs w:val="24"/>
          <w:lang w:val="en-GB"/>
        </w:rPr>
        <w:t xml:space="preserve"> as</w:t>
      </w:r>
      <w:r>
        <w:rPr>
          <w:rFonts w:ascii="Arial" w:hAnsi="Arial" w:cs="Arial"/>
          <w:bCs/>
          <w:sz w:val="24"/>
          <w:szCs w:val="24"/>
          <w:lang w:val="en-GB"/>
        </w:rPr>
        <w:t xml:space="preserve"> part in the development of some of the UN indicators for SDG 12 where the Nordic countries have good data availability</w:t>
      </w:r>
      <w:r w:rsidR="00E42F65">
        <w:rPr>
          <w:rFonts w:ascii="Arial" w:hAnsi="Arial" w:cs="Arial"/>
          <w:bCs/>
          <w:sz w:val="24"/>
          <w:szCs w:val="24"/>
          <w:lang w:val="en-GB"/>
        </w:rPr>
        <w:t xml:space="preserve"> and -quality</w:t>
      </w:r>
      <w:r>
        <w:rPr>
          <w:rFonts w:ascii="Arial" w:hAnsi="Arial" w:cs="Arial"/>
          <w:bCs/>
          <w:sz w:val="24"/>
          <w:szCs w:val="24"/>
          <w:lang w:val="en-GB"/>
        </w:rPr>
        <w:t xml:space="preserve">. Another </w:t>
      </w:r>
      <w:r w:rsidR="00014C5C">
        <w:rPr>
          <w:rFonts w:ascii="Arial" w:hAnsi="Arial" w:cs="Arial"/>
          <w:bCs/>
          <w:sz w:val="24"/>
          <w:szCs w:val="24"/>
          <w:lang w:val="en-GB"/>
        </w:rPr>
        <w:t>option could be</w:t>
      </w:r>
      <w:r w:rsidR="00E42F65">
        <w:rPr>
          <w:rFonts w:ascii="Arial" w:hAnsi="Arial" w:cs="Arial"/>
          <w:bCs/>
          <w:sz w:val="24"/>
          <w:szCs w:val="24"/>
          <w:lang w:val="en-GB"/>
        </w:rPr>
        <w:t xml:space="preserve"> </w:t>
      </w:r>
      <w:r w:rsidR="00014C5C">
        <w:rPr>
          <w:rFonts w:ascii="Arial" w:hAnsi="Arial" w:cs="Arial"/>
          <w:bCs/>
          <w:sz w:val="24"/>
          <w:szCs w:val="24"/>
          <w:lang w:val="en-GB"/>
        </w:rPr>
        <w:t xml:space="preserve">the </w:t>
      </w:r>
      <w:r w:rsidR="00E42F65">
        <w:rPr>
          <w:rFonts w:ascii="Arial" w:hAnsi="Arial" w:cs="Arial"/>
          <w:bCs/>
          <w:sz w:val="24"/>
          <w:szCs w:val="24"/>
          <w:lang w:val="en-GB"/>
        </w:rPr>
        <w:t xml:space="preserve">compilation </w:t>
      </w:r>
      <w:r w:rsidR="00014C5C">
        <w:rPr>
          <w:rFonts w:ascii="Arial" w:hAnsi="Arial" w:cs="Arial"/>
          <w:bCs/>
          <w:sz w:val="24"/>
          <w:szCs w:val="24"/>
          <w:lang w:val="en-GB"/>
        </w:rPr>
        <w:t xml:space="preserve">of </w:t>
      </w:r>
      <w:r w:rsidR="00E42F65">
        <w:rPr>
          <w:rFonts w:ascii="Arial" w:hAnsi="Arial" w:cs="Arial"/>
          <w:bCs/>
          <w:sz w:val="24"/>
          <w:szCs w:val="24"/>
          <w:lang w:val="en-GB"/>
        </w:rPr>
        <w:t xml:space="preserve">additional </w:t>
      </w:r>
      <w:r>
        <w:rPr>
          <w:rFonts w:ascii="Arial" w:hAnsi="Arial" w:cs="Arial"/>
          <w:bCs/>
          <w:sz w:val="24"/>
          <w:szCs w:val="24"/>
          <w:lang w:val="en-GB"/>
        </w:rPr>
        <w:t>indicators focus</w:t>
      </w:r>
      <w:r w:rsidR="00E42F65">
        <w:rPr>
          <w:rFonts w:ascii="Arial" w:hAnsi="Arial" w:cs="Arial"/>
          <w:bCs/>
          <w:sz w:val="24"/>
          <w:szCs w:val="24"/>
          <w:lang w:val="en-GB"/>
        </w:rPr>
        <w:t xml:space="preserve">ing </w:t>
      </w:r>
      <w:r>
        <w:rPr>
          <w:rFonts w:ascii="Arial" w:hAnsi="Arial" w:cs="Arial"/>
          <w:bCs/>
          <w:sz w:val="24"/>
          <w:szCs w:val="24"/>
          <w:lang w:val="en-GB"/>
        </w:rPr>
        <w:t xml:space="preserve">on actual consumption volumes. </w:t>
      </w:r>
    </w:p>
    <w:p w14:paraId="2BCE08CA" w14:textId="12CA7897" w:rsidR="00EB3A68" w:rsidRDefault="00EB3A68" w:rsidP="009F7C71">
      <w:pPr>
        <w:spacing w:before="360" w:after="0" w:line="360" w:lineRule="auto"/>
        <w:jc w:val="both"/>
        <w:rPr>
          <w:rFonts w:ascii="Arial" w:hAnsi="Arial" w:cs="Arial"/>
          <w:bCs/>
          <w:sz w:val="24"/>
          <w:szCs w:val="24"/>
          <w:lang w:val="en-GB"/>
        </w:rPr>
      </w:pPr>
      <w:r>
        <w:rPr>
          <w:rFonts w:ascii="Arial" w:hAnsi="Arial" w:cs="Arial"/>
          <w:bCs/>
          <w:sz w:val="24"/>
          <w:szCs w:val="24"/>
          <w:lang w:val="en-GB"/>
        </w:rPr>
        <w:t xml:space="preserve">Continue to develop and increasing the use of the Nordic database, hosted by the Nordic council of ministers, could also be a way to assist the Nordic NSI:s in developing and harmonizing sustainable development indicators. </w:t>
      </w:r>
    </w:p>
    <w:p w14:paraId="73D13916" w14:textId="77777777" w:rsidR="00674CF6" w:rsidRDefault="00674CF6">
      <w:pPr>
        <w:rPr>
          <w:rFonts w:ascii="Arial" w:hAnsi="Arial" w:cs="Arial"/>
          <w:b/>
          <w:sz w:val="24"/>
          <w:szCs w:val="24"/>
          <w:lang w:val="en-GB"/>
        </w:rPr>
      </w:pPr>
      <w:r>
        <w:rPr>
          <w:rFonts w:ascii="Arial" w:hAnsi="Arial" w:cs="Arial"/>
          <w:b/>
          <w:sz w:val="24"/>
          <w:szCs w:val="24"/>
          <w:lang w:val="en-GB"/>
        </w:rPr>
        <w:br w:type="page"/>
      </w:r>
    </w:p>
    <w:p w14:paraId="6895BADD" w14:textId="1A16B2AC" w:rsidR="006B1F86" w:rsidRPr="00681DE7" w:rsidRDefault="009F7C71"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4</w:t>
      </w:r>
      <w:r w:rsidR="006B1F86" w:rsidRPr="00681DE7">
        <w:rPr>
          <w:rFonts w:ascii="Arial" w:hAnsi="Arial" w:cs="Arial"/>
          <w:b/>
          <w:sz w:val="24"/>
          <w:szCs w:val="24"/>
          <w:lang w:val="en-GB"/>
        </w:rPr>
        <w:t>. References</w:t>
      </w:r>
    </w:p>
    <w:p w14:paraId="532E9237" w14:textId="77777777" w:rsidR="007F2EC9" w:rsidRPr="00681DE7" w:rsidRDefault="007F2EC9" w:rsidP="007F2EC9">
      <w:pPr>
        <w:spacing w:line="360" w:lineRule="auto"/>
        <w:rPr>
          <w:rFonts w:ascii="Arial" w:hAnsi="Arial" w:cs="Arial"/>
          <w:sz w:val="24"/>
          <w:szCs w:val="24"/>
          <w:lang w:val="en-US"/>
        </w:rPr>
      </w:pPr>
      <w:r w:rsidRPr="00681DE7">
        <w:rPr>
          <w:rFonts w:ascii="Arial" w:hAnsi="Arial" w:cs="Arial"/>
          <w:sz w:val="24"/>
          <w:szCs w:val="24"/>
          <w:lang w:val="en-US"/>
        </w:rPr>
        <w:t xml:space="preserve">Alfredsson et al (2018), Why achieving the Paris Agreement requires reduced overall consumption and production. </w:t>
      </w:r>
      <w:r w:rsidRPr="00681DE7">
        <w:rPr>
          <w:rFonts w:ascii="Arial" w:hAnsi="Arial" w:cs="Arial"/>
          <w:i/>
          <w:sz w:val="24"/>
          <w:szCs w:val="24"/>
          <w:lang w:val="en-US"/>
        </w:rPr>
        <w:t>Sustainability: Science Practice and Policy, vol. 14: pp.1-5.</w:t>
      </w:r>
    </w:p>
    <w:p w14:paraId="3CAC3155" w14:textId="1045E9E2" w:rsidR="008C26D5" w:rsidRDefault="008C26D5" w:rsidP="007F2EC9">
      <w:pPr>
        <w:spacing w:line="360" w:lineRule="auto"/>
        <w:rPr>
          <w:rFonts w:ascii="Arial" w:hAnsi="Arial" w:cs="Arial"/>
          <w:sz w:val="24"/>
          <w:szCs w:val="24"/>
          <w:lang w:val="en-GB"/>
        </w:rPr>
      </w:pPr>
      <w:r w:rsidRPr="00681DE7">
        <w:rPr>
          <w:rFonts w:ascii="Arial" w:hAnsi="Arial" w:cs="Arial"/>
          <w:sz w:val="24"/>
          <w:szCs w:val="24"/>
          <w:lang w:val="en-GB"/>
        </w:rPr>
        <w:t xml:space="preserve">Bertelmann Stiftung and Sustainable Development Solutions Network (2018), SDG Index and dashboard report 2018 – Global responsibilities, implementing the goals. </w:t>
      </w:r>
    </w:p>
    <w:p w14:paraId="47756287" w14:textId="77777777" w:rsidR="00464205" w:rsidRPr="00681DE7" w:rsidRDefault="00464205" w:rsidP="00464205">
      <w:pPr>
        <w:pStyle w:val="Default"/>
        <w:spacing w:line="360" w:lineRule="auto"/>
        <w:rPr>
          <w:color w:val="auto"/>
          <w:lang w:val="en-GB"/>
        </w:rPr>
      </w:pPr>
      <w:r w:rsidRPr="00681DE7">
        <w:rPr>
          <w:color w:val="auto"/>
          <w:lang w:val="en-GB"/>
        </w:rPr>
        <w:t xml:space="preserve">Brown (2009), Good Practice Guidelines for Indicator Development and Reporting, </w:t>
      </w:r>
    </w:p>
    <w:p w14:paraId="7D51B1BA" w14:textId="38433980" w:rsidR="00464205" w:rsidRDefault="00464205" w:rsidP="00464205">
      <w:pPr>
        <w:autoSpaceDE w:val="0"/>
        <w:autoSpaceDN w:val="0"/>
        <w:adjustRightInd w:val="0"/>
        <w:spacing w:after="0" w:line="360" w:lineRule="auto"/>
        <w:rPr>
          <w:rFonts w:ascii="Arial" w:hAnsi="Arial" w:cs="Arial"/>
          <w:i/>
          <w:sz w:val="24"/>
          <w:szCs w:val="24"/>
          <w:lang w:val="en-GB"/>
        </w:rPr>
      </w:pPr>
      <w:r w:rsidRPr="00681DE7">
        <w:rPr>
          <w:rFonts w:ascii="Arial" w:hAnsi="Arial" w:cs="Arial"/>
          <w:i/>
          <w:sz w:val="24"/>
          <w:szCs w:val="24"/>
          <w:lang w:val="en-GB"/>
        </w:rPr>
        <w:t>Third World Forum on ‘Statistics, Knowledge and Policy’.</w:t>
      </w:r>
    </w:p>
    <w:p w14:paraId="0601C596" w14:textId="77777777" w:rsidR="00464205" w:rsidRPr="00681DE7" w:rsidRDefault="00464205" w:rsidP="00464205">
      <w:pPr>
        <w:autoSpaceDE w:val="0"/>
        <w:autoSpaceDN w:val="0"/>
        <w:adjustRightInd w:val="0"/>
        <w:spacing w:after="0" w:line="360" w:lineRule="auto"/>
        <w:rPr>
          <w:rFonts w:ascii="Arial" w:hAnsi="Arial" w:cs="Arial"/>
          <w:i/>
          <w:sz w:val="24"/>
          <w:szCs w:val="24"/>
          <w:lang w:val="en-GB"/>
        </w:rPr>
      </w:pPr>
    </w:p>
    <w:p w14:paraId="3F2DFD70" w14:textId="77777777" w:rsidR="00464205" w:rsidRPr="00681DE7" w:rsidRDefault="00464205" w:rsidP="00464205">
      <w:pPr>
        <w:autoSpaceDE w:val="0"/>
        <w:autoSpaceDN w:val="0"/>
        <w:adjustRightInd w:val="0"/>
        <w:spacing w:after="0" w:line="360" w:lineRule="auto"/>
        <w:rPr>
          <w:rFonts w:ascii="Arial" w:hAnsi="Arial" w:cs="Arial"/>
          <w:i/>
          <w:sz w:val="24"/>
          <w:szCs w:val="24"/>
          <w:lang w:val="en-GB"/>
        </w:rPr>
      </w:pPr>
      <w:r w:rsidRPr="00681DE7">
        <w:rPr>
          <w:rFonts w:ascii="Arial" w:hAnsi="Arial" w:cs="Arial"/>
          <w:sz w:val="24"/>
          <w:szCs w:val="24"/>
          <w:lang w:val="en-US"/>
        </w:rPr>
        <w:t xml:space="preserve">Chan et al (2018), SDG 12: Responsible Consumption and Production. </w:t>
      </w:r>
      <w:r w:rsidRPr="00681DE7">
        <w:rPr>
          <w:rFonts w:ascii="Arial" w:hAnsi="Arial" w:cs="Arial"/>
          <w:sz w:val="24"/>
          <w:szCs w:val="24"/>
        </w:rPr>
        <w:t xml:space="preserve">A Review of Research Needs. Technical annex to the Formas report Forskning för Agenda 2030: Översikt av forskningsbehov och vägar framåt. </w:t>
      </w:r>
      <w:r w:rsidRPr="00681DE7">
        <w:rPr>
          <w:rFonts w:ascii="Arial" w:hAnsi="Arial" w:cs="Arial"/>
          <w:sz w:val="24"/>
          <w:szCs w:val="24"/>
          <w:lang w:val="en-US"/>
        </w:rPr>
        <w:t>Stockholm Environment Institute, Stockholm.</w:t>
      </w:r>
    </w:p>
    <w:p w14:paraId="15BF248D" w14:textId="77777777" w:rsidR="00464205" w:rsidRDefault="00464205" w:rsidP="007F2EC9">
      <w:pPr>
        <w:pStyle w:val="Default"/>
        <w:spacing w:line="360" w:lineRule="auto"/>
        <w:rPr>
          <w:color w:val="auto"/>
          <w:lang w:val="en-GB"/>
        </w:rPr>
      </w:pPr>
    </w:p>
    <w:p w14:paraId="4AF9960D" w14:textId="183DCBC6" w:rsidR="003F379E" w:rsidRPr="00681DE7" w:rsidRDefault="003F379E" w:rsidP="007F2EC9">
      <w:pPr>
        <w:pStyle w:val="Default"/>
        <w:spacing w:line="360" w:lineRule="auto"/>
        <w:rPr>
          <w:color w:val="auto"/>
          <w:lang w:val="en-GB"/>
        </w:rPr>
      </w:pPr>
      <w:r w:rsidRPr="00681DE7">
        <w:rPr>
          <w:color w:val="auto"/>
          <w:lang w:val="en-GB"/>
        </w:rPr>
        <w:t xml:space="preserve">EEA (2014) </w:t>
      </w:r>
      <w:r w:rsidR="00591387" w:rsidRPr="00681DE7">
        <w:rPr>
          <w:color w:val="auto"/>
          <w:lang w:val="en-GB"/>
        </w:rPr>
        <w:t xml:space="preserve">Digest of EEA indicators 2014, </w:t>
      </w:r>
      <w:r w:rsidRPr="00681DE7">
        <w:rPr>
          <w:i/>
          <w:color w:val="auto"/>
          <w:lang w:val="en-GB"/>
        </w:rPr>
        <w:t>EEA Technical report</w:t>
      </w:r>
      <w:r w:rsidRPr="00681DE7">
        <w:rPr>
          <w:color w:val="auto"/>
          <w:lang w:val="en-GB"/>
        </w:rPr>
        <w:t xml:space="preserve"> No 8/2014</w:t>
      </w:r>
    </w:p>
    <w:p w14:paraId="63FE55B9" w14:textId="77777777" w:rsidR="00591387" w:rsidRPr="00591387" w:rsidRDefault="00591387" w:rsidP="007F2EC9">
      <w:pPr>
        <w:autoSpaceDE w:val="0"/>
        <w:autoSpaceDN w:val="0"/>
        <w:adjustRightInd w:val="0"/>
        <w:spacing w:after="0" w:line="360" w:lineRule="auto"/>
        <w:rPr>
          <w:rFonts w:ascii="Arial" w:hAnsi="Arial" w:cs="Arial"/>
          <w:color w:val="000000"/>
          <w:sz w:val="24"/>
          <w:szCs w:val="24"/>
          <w:lang w:val="en-GB"/>
        </w:rPr>
      </w:pPr>
    </w:p>
    <w:p w14:paraId="0502A223" w14:textId="77777777" w:rsidR="00464205" w:rsidRPr="00681DE7" w:rsidRDefault="00464205" w:rsidP="00464205">
      <w:pPr>
        <w:spacing w:line="360" w:lineRule="auto"/>
        <w:rPr>
          <w:rFonts w:ascii="Arial" w:hAnsi="Arial" w:cs="Arial"/>
          <w:sz w:val="24"/>
          <w:szCs w:val="24"/>
          <w:lang w:val="en-GB"/>
        </w:rPr>
      </w:pPr>
      <w:r w:rsidRPr="00681DE7">
        <w:rPr>
          <w:rFonts w:ascii="Arial" w:hAnsi="Arial" w:cs="Arial"/>
          <w:bCs/>
          <w:sz w:val="24"/>
          <w:szCs w:val="24"/>
          <w:lang w:val="en-GB"/>
        </w:rPr>
        <w:t xml:space="preserve">NCM </w:t>
      </w:r>
      <w:r>
        <w:rPr>
          <w:rFonts w:ascii="Arial" w:hAnsi="Arial" w:cs="Arial"/>
          <w:bCs/>
          <w:sz w:val="24"/>
          <w:szCs w:val="24"/>
          <w:lang w:val="en-GB"/>
        </w:rPr>
        <w:t>(</w:t>
      </w:r>
      <w:r w:rsidRPr="00681DE7">
        <w:rPr>
          <w:rFonts w:ascii="Arial" w:hAnsi="Arial" w:cs="Arial"/>
          <w:bCs/>
          <w:sz w:val="24"/>
          <w:szCs w:val="24"/>
          <w:lang w:val="en-GB"/>
        </w:rPr>
        <w:t>2014</w:t>
      </w:r>
      <w:r>
        <w:rPr>
          <w:rFonts w:ascii="Arial" w:hAnsi="Arial" w:cs="Arial"/>
          <w:bCs/>
          <w:sz w:val="24"/>
          <w:szCs w:val="24"/>
          <w:lang w:val="en-GB"/>
        </w:rPr>
        <w:t xml:space="preserve">) </w:t>
      </w:r>
      <w:r w:rsidRPr="00681DE7">
        <w:rPr>
          <w:rFonts w:ascii="Arial" w:hAnsi="Arial" w:cs="Arial"/>
          <w:bCs/>
          <w:sz w:val="24"/>
          <w:szCs w:val="24"/>
          <w:lang w:val="en-GB"/>
        </w:rPr>
        <w:t>Nordic Sustainable Development Indicators 2014</w:t>
      </w:r>
      <w:r>
        <w:rPr>
          <w:rFonts w:ascii="Arial" w:hAnsi="Arial" w:cs="Arial"/>
          <w:bCs/>
          <w:sz w:val="24"/>
          <w:szCs w:val="24"/>
          <w:lang w:val="en-GB"/>
        </w:rPr>
        <w:t xml:space="preserve">, </w:t>
      </w:r>
      <w:r w:rsidRPr="00681DE7">
        <w:rPr>
          <w:rFonts w:ascii="Arial" w:hAnsi="Arial" w:cs="Arial"/>
          <w:bCs/>
          <w:sz w:val="24"/>
          <w:szCs w:val="24"/>
          <w:lang w:val="en-GB"/>
        </w:rPr>
        <w:t xml:space="preserve">Nordic Council of Ministers. </w:t>
      </w:r>
    </w:p>
    <w:p w14:paraId="2B80F866" w14:textId="77777777" w:rsidR="00464205" w:rsidRDefault="00591387" w:rsidP="00464205">
      <w:pPr>
        <w:autoSpaceDE w:val="0"/>
        <w:autoSpaceDN w:val="0"/>
        <w:adjustRightInd w:val="0"/>
        <w:spacing w:after="0" w:line="360" w:lineRule="auto"/>
        <w:rPr>
          <w:rFonts w:ascii="Arial" w:hAnsi="Arial" w:cs="Arial"/>
          <w:sz w:val="24"/>
          <w:szCs w:val="24"/>
        </w:rPr>
      </w:pPr>
      <w:r w:rsidRPr="00681DE7">
        <w:rPr>
          <w:rFonts w:ascii="Arial" w:hAnsi="Arial" w:cs="Arial"/>
          <w:sz w:val="24"/>
          <w:szCs w:val="24"/>
          <w:lang w:val="en-GB"/>
        </w:rPr>
        <w:t xml:space="preserve">NCM (2016) </w:t>
      </w:r>
      <w:r w:rsidRPr="00591387">
        <w:rPr>
          <w:rFonts w:ascii="Arial" w:hAnsi="Arial" w:cs="Arial"/>
          <w:sz w:val="24"/>
          <w:szCs w:val="24"/>
          <w:lang w:val="en-GB"/>
        </w:rPr>
        <w:t xml:space="preserve">Making the environment count </w:t>
      </w:r>
      <w:r w:rsidRPr="00681DE7">
        <w:rPr>
          <w:rFonts w:ascii="Arial" w:hAnsi="Arial" w:cs="Arial"/>
          <w:sz w:val="24"/>
          <w:szCs w:val="24"/>
          <w:lang w:val="en-GB"/>
        </w:rPr>
        <w:t xml:space="preserve">– Nordic accounts and indicators for analysing and integrating environment and economy. </w:t>
      </w:r>
      <w:r w:rsidRPr="00681DE7">
        <w:rPr>
          <w:rFonts w:ascii="Arial" w:hAnsi="Arial" w:cs="Arial"/>
          <w:sz w:val="24"/>
          <w:szCs w:val="24"/>
        </w:rPr>
        <w:t>TemaNord 2016:507</w:t>
      </w:r>
    </w:p>
    <w:p w14:paraId="72EBE07A" w14:textId="77777777" w:rsidR="00464205" w:rsidRDefault="00464205" w:rsidP="00464205">
      <w:pPr>
        <w:autoSpaceDE w:val="0"/>
        <w:autoSpaceDN w:val="0"/>
        <w:adjustRightInd w:val="0"/>
        <w:spacing w:after="0" w:line="360" w:lineRule="auto"/>
        <w:rPr>
          <w:rFonts w:ascii="Arial" w:hAnsi="Arial" w:cs="Arial"/>
          <w:sz w:val="24"/>
          <w:szCs w:val="24"/>
        </w:rPr>
      </w:pPr>
    </w:p>
    <w:p w14:paraId="17E891D4" w14:textId="77777777" w:rsidR="00BC42C7" w:rsidRDefault="00464205" w:rsidP="007F2EC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US"/>
        </w:rPr>
        <w:t>N</w:t>
      </w:r>
      <w:r w:rsidR="00591387" w:rsidRPr="00681DE7">
        <w:rPr>
          <w:rFonts w:ascii="Arial" w:hAnsi="Arial" w:cs="Arial"/>
          <w:sz w:val="24"/>
          <w:szCs w:val="24"/>
          <w:lang w:val="en-US"/>
        </w:rPr>
        <w:t>CM (2017), Bumps on the Road to 2030 – An overview of the common challenges for the Nordic countries in achieving the Sustainable Development Goals (SDGs) Nordic Council of Ministers.</w:t>
      </w:r>
    </w:p>
    <w:p w14:paraId="416F8182" w14:textId="77777777" w:rsidR="00BC42C7" w:rsidRDefault="00BC42C7" w:rsidP="007F2EC9">
      <w:pPr>
        <w:autoSpaceDE w:val="0"/>
        <w:autoSpaceDN w:val="0"/>
        <w:adjustRightInd w:val="0"/>
        <w:spacing w:after="0" w:line="360" w:lineRule="auto"/>
        <w:rPr>
          <w:rFonts w:ascii="Arial" w:hAnsi="Arial" w:cs="Arial"/>
          <w:sz w:val="24"/>
          <w:szCs w:val="24"/>
          <w:lang w:val="en-GB"/>
        </w:rPr>
      </w:pPr>
    </w:p>
    <w:p w14:paraId="6D6A3D0D" w14:textId="4285D44B" w:rsidR="00BC42C7" w:rsidRDefault="00BC42C7" w:rsidP="007F2EC9">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NCM (2018), Sustainable Consumption and Production – an analysis of Nordic progress towards SDG12, and the way ahead. Nordic Council of Ministers.</w:t>
      </w:r>
    </w:p>
    <w:p w14:paraId="2BC086FF" w14:textId="77777777" w:rsidR="00BC42C7" w:rsidRDefault="00BC42C7" w:rsidP="00BC42C7">
      <w:pPr>
        <w:autoSpaceDE w:val="0"/>
        <w:autoSpaceDN w:val="0"/>
        <w:adjustRightInd w:val="0"/>
        <w:spacing w:after="0" w:line="360" w:lineRule="auto"/>
        <w:rPr>
          <w:rFonts w:ascii="Arial" w:hAnsi="Arial" w:cs="Arial"/>
          <w:sz w:val="24"/>
          <w:szCs w:val="24"/>
          <w:lang w:val="en-GB"/>
        </w:rPr>
      </w:pPr>
    </w:p>
    <w:p w14:paraId="7167521D" w14:textId="38017A60" w:rsidR="00BC42C7" w:rsidRDefault="00AA2349" w:rsidP="00BC42C7">
      <w:pPr>
        <w:autoSpaceDE w:val="0"/>
        <w:autoSpaceDN w:val="0"/>
        <w:adjustRightInd w:val="0"/>
        <w:spacing w:after="0" w:line="360" w:lineRule="auto"/>
        <w:rPr>
          <w:rFonts w:ascii="Arial" w:hAnsi="Arial" w:cs="Arial"/>
          <w:sz w:val="24"/>
          <w:szCs w:val="24"/>
          <w:lang w:val="en-GB"/>
        </w:rPr>
      </w:pPr>
      <w:r w:rsidRPr="00681DE7">
        <w:rPr>
          <w:rFonts w:ascii="Arial" w:hAnsi="Arial" w:cs="Arial"/>
          <w:sz w:val="24"/>
          <w:szCs w:val="24"/>
          <w:lang w:val="en-GB"/>
        </w:rPr>
        <w:t xml:space="preserve">Niemeijer and de Groot (2008), A conceptual framework for selecting environmental indicator sets, </w:t>
      </w:r>
      <w:r w:rsidRPr="00681DE7">
        <w:rPr>
          <w:rFonts w:ascii="Arial" w:hAnsi="Arial" w:cs="Arial"/>
          <w:i/>
          <w:sz w:val="24"/>
          <w:szCs w:val="24"/>
          <w:lang w:val="en-GB"/>
        </w:rPr>
        <w:t>Ecological indicators</w:t>
      </w:r>
      <w:r w:rsidR="00BC42C7">
        <w:rPr>
          <w:rFonts w:ascii="Arial" w:hAnsi="Arial" w:cs="Arial"/>
          <w:sz w:val="24"/>
          <w:szCs w:val="24"/>
          <w:lang w:val="en-GB"/>
        </w:rPr>
        <w:t xml:space="preserve"> 8:14-25.</w:t>
      </w:r>
    </w:p>
    <w:p w14:paraId="05AA2D2F" w14:textId="77777777" w:rsidR="00BC42C7" w:rsidRDefault="00BC42C7" w:rsidP="00BC42C7">
      <w:pPr>
        <w:autoSpaceDE w:val="0"/>
        <w:autoSpaceDN w:val="0"/>
        <w:adjustRightInd w:val="0"/>
        <w:spacing w:after="0" w:line="360" w:lineRule="auto"/>
        <w:rPr>
          <w:rFonts w:ascii="Arial" w:hAnsi="Arial" w:cs="Arial"/>
          <w:sz w:val="24"/>
          <w:szCs w:val="24"/>
          <w:lang w:val="en-GB"/>
        </w:rPr>
      </w:pPr>
    </w:p>
    <w:p w14:paraId="088C783F" w14:textId="78766756" w:rsidR="00AA2349" w:rsidRPr="00681DE7" w:rsidRDefault="00AA2349" w:rsidP="007F2EC9">
      <w:pPr>
        <w:spacing w:line="360" w:lineRule="auto"/>
        <w:rPr>
          <w:rFonts w:ascii="Arial" w:hAnsi="Arial" w:cs="Arial"/>
          <w:sz w:val="24"/>
          <w:szCs w:val="24"/>
          <w:lang w:val="en-GB"/>
        </w:rPr>
      </w:pPr>
      <w:r w:rsidRPr="00681DE7">
        <w:rPr>
          <w:rFonts w:ascii="Arial" w:hAnsi="Arial" w:cs="Arial"/>
          <w:sz w:val="24"/>
          <w:szCs w:val="24"/>
          <w:lang w:val="en-GB"/>
        </w:rPr>
        <w:t>Pencheon D, (2008), The Good Indicator Guide: Understanding how to use and chose indicators. NHS Institute for Innovation and Improvement</w:t>
      </w:r>
    </w:p>
    <w:p w14:paraId="0FEDAD61" w14:textId="77777777" w:rsidR="00591387" w:rsidRPr="00681DE7" w:rsidRDefault="00591387" w:rsidP="007F2EC9">
      <w:pPr>
        <w:spacing w:line="360" w:lineRule="auto"/>
        <w:rPr>
          <w:rFonts w:ascii="Arial" w:hAnsi="Arial" w:cs="Arial"/>
          <w:sz w:val="24"/>
          <w:szCs w:val="24"/>
        </w:rPr>
      </w:pPr>
      <w:r w:rsidRPr="00681DE7">
        <w:rPr>
          <w:rFonts w:ascii="Arial" w:hAnsi="Arial" w:cs="Arial"/>
          <w:sz w:val="24"/>
          <w:szCs w:val="24"/>
          <w:lang w:val="en-US"/>
        </w:rPr>
        <w:lastRenderedPageBreak/>
        <w:t xml:space="preserve">SCB (2016), Monitoring the shift to Sustainable Consumption and Production Patterns – in the context of SDGs. </w:t>
      </w:r>
      <w:r w:rsidRPr="00681DE7">
        <w:rPr>
          <w:rFonts w:ascii="Arial" w:hAnsi="Arial" w:cs="Arial"/>
          <w:sz w:val="24"/>
          <w:szCs w:val="24"/>
        </w:rPr>
        <w:t xml:space="preserve">Statistics Sweden. </w:t>
      </w:r>
    </w:p>
    <w:p w14:paraId="201C5AD2" w14:textId="422FAF3C" w:rsidR="00FB2A46" w:rsidRPr="005A71D2" w:rsidRDefault="006E78C0" w:rsidP="007F2EC9">
      <w:pPr>
        <w:spacing w:line="360" w:lineRule="auto"/>
        <w:rPr>
          <w:rFonts w:ascii="Arial" w:hAnsi="Arial" w:cs="Arial"/>
          <w:sz w:val="24"/>
          <w:szCs w:val="24"/>
          <w:lang w:val="en-US"/>
        </w:rPr>
      </w:pPr>
      <w:r w:rsidRPr="006E78C0">
        <w:rPr>
          <w:rFonts w:ascii="Arial" w:hAnsi="Arial" w:cs="Arial"/>
          <w:sz w:val="24"/>
          <w:szCs w:val="24"/>
          <w:lang w:val="sv-SE"/>
        </w:rPr>
        <w:t>SCB (2017</w:t>
      </w:r>
      <w:r w:rsidR="00FB2A46" w:rsidRPr="006E78C0">
        <w:rPr>
          <w:rFonts w:ascii="Arial" w:hAnsi="Arial" w:cs="Arial"/>
          <w:sz w:val="24"/>
          <w:szCs w:val="24"/>
          <w:lang w:val="sv-SE"/>
        </w:rPr>
        <w:t xml:space="preserve">), Om statistikbaserad uppföljning av Agenda 2030 – Slutrapport av uppdrag till Statistiska centralbyrån om statistikbaserad analys av Sveriges genomförande av Agenda 2030. </w:t>
      </w:r>
      <w:r w:rsidR="00FB2A46" w:rsidRPr="005A71D2">
        <w:rPr>
          <w:rFonts w:ascii="Arial" w:hAnsi="Arial" w:cs="Arial"/>
          <w:sz w:val="24"/>
          <w:szCs w:val="24"/>
          <w:lang w:val="en-US"/>
        </w:rPr>
        <w:t>Statistiska Centralbyrån.</w:t>
      </w:r>
    </w:p>
    <w:p w14:paraId="2C212753" w14:textId="3E1E0115" w:rsidR="008C26D5" w:rsidRDefault="008C26D5" w:rsidP="007F2EC9">
      <w:pPr>
        <w:spacing w:line="360" w:lineRule="auto"/>
        <w:rPr>
          <w:rFonts w:ascii="Arial" w:hAnsi="Arial" w:cs="Arial"/>
          <w:sz w:val="24"/>
          <w:szCs w:val="24"/>
          <w:lang w:val="en-GB"/>
        </w:rPr>
      </w:pPr>
      <w:r w:rsidRPr="00681DE7">
        <w:rPr>
          <w:rFonts w:ascii="Arial" w:hAnsi="Arial" w:cs="Arial"/>
          <w:sz w:val="24"/>
          <w:szCs w:val="24"/>
          <w:lang w:val="en-GB"/>
        </w:rPr>
        <w:t xml:space="preserve">World Bank (2018), Atlas of Sustainable Development Goals 2018: From World Development Indicators. </w:t>
      </w:r>
    </w:p>
    <w:p w14:paraId="0CAC3FD4" w14:textId="77777777" w:rsidR="003F379E" w:rsidRPr="00681DE7" w:rsidRDefault="003F379E" w:rsidP="003F379E">
      <w:pPr>
        <w:pStyle w:val="Default"/>
        <w:rPr>
          <w:lang w:val="en-GB"/>
        </w:rPr>
      </w:pPr>
    </w:p>
    <w:sectPr w:rsidR="003F379E" w:rsidRPr="00681DE7"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15AD" w14:textId="77777777" w:rsidR="00BC3B35" w:rsidRDefault="00BC3B35" w:rsidP="00E82B25">
      <w:pPr>
        <w:spacing w:after="0" w:line="240" w:lineRule="auto"/>
      </w:pPr>
      <w:r>
        <w:separator/>
      </w:r>
    </w:p>
  </w:endnote>
  <w:endnote w:type="continuationSeparator" w:id="0">
    <w:p w14:paraId="38C03B22" w14:textId="77777777" w:rsidR="00BC3B35" w:rsidRDefault="00BC3B35"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W1G 55 Roman">
    <w:altName w:val="Arial"/>
    <w:panose1 w:val="00000000000000000000"/>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00C26B9D" w14:textId="13A1936F" w:rsidR="00FB2A46" w:rsidRPr="009378F5" w:rsidRDefault="00FB2A46" w:rsidP="0035694D">
        <w:pPr>
          <w:pStyle w:val="Sidefod"/>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E1790">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5B44" w14:textId="77777777" w:rsidR="00BC3B35" w:rsidRDefault="00BC3B35" w:rsidP="00E82B25">
      <w:pPr>
        <w:spacing w:after="0" w:line="240" w:lineRule="auto"/>
      </w:pPr>
      <w:r>
        <w:separator/>
      </w:r>
    </w:p>
  </w:footnote>
  <w:footnote w:type="continuationSeparator" w:id="0">
    <w:p w14:paraId="2DF6E27C" w14:textId="77777777" w:rsidR="00BC3B35" w:rsidRDefault="00BC3B35" w:rsidP="00E82B25">
      <w:pPr>
        <w:spacing w:after="0" w:line="240" w:lineRule="auto"/>
      </w:pPr>
      <w:r>
        <w:continuationSeparator/>
      </w:r>
    </w:p>
  </w:footnote>
  <w:footnote w:id="1">
    <w:p w14:paraId="6E556A31" w14:textId="77777777" w:rsidR="00FB2A46" w:rsidRPr="006719DB" w:rsidRDefault="00FB2A46" w:rsidP="008C26D5">
      <w:pPr>
        <w:pStyle w:val="Fodnotetekst"/>
        <w:rPr>
          <w:lang w:val="en-US"/>
        </w:rPr>
      </w:pPr>
      <w:r>
        <w:rPr>
          <w:rStyle w:val="Fodnotehenvisning"/>
        </w:rPr>
        <w:footnoteRef/>
      </w:r>
      <w:r>
        <w:t xml:space="preserve"> </w:t>
      </w:r>
      <w:r w:rsidRPr="00276EB9">
        <w:rPr>
          <w:lang w:val="en-US"/>
        </w:rPr>
        <w:t>Bertelmann</w:t>
      </w:r>
      <w:r>
        <w:rPr>
          <w:lang w:val="en-US"/>
        </w:rPr>
        <w:t xml:space="preserve"> Stiftung and </w:t>
      </w:r>
      <w:r w:rsidRPr="008C26D5">
        <w:rPr>
          <w:sz w:val="22"/>
          <w:szCs w:val="22"/>
          <w:lang w:val="en-US"/>
        </w:rPr>
        <w:t>Sustainable Development Solutions Network</w:t>
      </w:r>
      <w:r>
        <w:rPr>
          <w:lang w:val="en-US"/>
        </w:rPr>
        <w:t xml:space="preserve"> (2018)</w:t>
      </w:r>
    </w:p>
  </w:footnote>
  <w:footnote w:id="2">
    <w:p w14:paraId="5DD7C58C" w14:textId="77777777" w:rsidR="00FB2A46" w:rsidRPr="008C26D5" w:rsidRDefault="00FB2A46" w:rsidP="008C26D5">
      <w:pPr>
        <w:pStyle w:val="Fodnotetekst"/>
        <w:rPr>
          <w:lang w:val="sv-SE"/>
        </w:rPr>
      </w:pPr>
      <w:r>
        <w:rPr>
          <w:rStyle w:val="Fodnotehenvisning"/>
        </w:rPr>
        <w:footnoteRef/>
      </w:r>
      <w:r>
        <w:t xml:space="preserve"> </w:t>
      </w:r>
      <w:r>
        <w:rPr>
          <w:lang w:val="en-US"/>
        </w:rPr>
        <w:t>World Bank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1249" w14:textId="77777777" w:rsidR="00FB2A46" w:rsidRDefault="00BC3B35">
    <w:pPr>
      <w:pStyle w:val="Sidehoved"/>
    </w:pPr>
    <w:r>
      <w:rPr>
        <w:noProof/>
        <w:lang w:eastAsia="pl-PL"/>
      </w:rPr>
      <w:pict w14:anchorId="4D39E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D8A0" w14:textId="77777777" w:rsidR="00FB2A46" w:rsidRPr="000B0921" w:rsidRDefault="00FB2A46" w:rsidP="000B0921">
    <w:pPr>
      <w:pStyle w:val="Sidehoved"/>
      <w:tabs>
        <w:tab w:val="clear" w:pos="4536"/>
        <w:tab w:val="clear" w:pos="9072"/>
        <w:tab w:val="left" w:pos="3344"/>
      </w:tabs>
    </w:pPr>
    <w:r>
      <w:rPr>
        <w:noProof/>
        <w:lang w:val="sv-SE" w:eastAsia="sv-SE"/>
      </w:rPr>
      <w:drawing>
        <wp:inline distT="0" distB="0" distL="0" distR="0" wp14:anchorId="4060C48C" wp14:editId="5B60FF42">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1964" w14:textId="77777777" w:rsidR="00FB2A46" w:rsidRDefault="00BC3B35">
    <w:pPr>
      <w:pStyle w:val="Sidehoved"/>
    </w:pPr>
    <w:r>
      <w:rPr>
        <w:noProof/>
        <w:lang w:eastAsia="pl-PL"/>
      </w:rPr>
      <w:pict w14:anchorId="332D5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7E1"/>
    <w:multiLevelType w:val="hybridMultilevel"/>
    <w:tmpl w:val="1968FE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7B06C7"/>
    <w:multiLevelType w:val="hybridMultilevel"/>
    <w:tmpl w:val="419695F8"/>
    <w:lvl w:ilvl="0" w:tplc="CBB22382">
      <w:start w:val="1"/>
      <w:numFmt w:val="bullet"/>
      <w:lvlText w:val="•"/>
      <w:lvlJc w:val="left"/>
      <w:pPr>
        <w:tabs>
          <w:tab w:val="num" w:pos="720"/>
        </w:tabs>
        <w:ind w:left="720" w:hanging="360"/>
      </w:pPr>
      <w:rPr>
        <w:rFonts w:ascii="Times New Roman" w:hAnsi="Times New Roman" w:hint="default"/>
      </w:rPr>
    </w:lvl>
    <w:lvl w:ilvl="1" w:tplc="BCEE8AF4" w:tentative="1">
      <w:start w:val="1"/>
      <w:numFmt w:val="bullet"/>
      <w:lvlText w:val="•"/>
      <w:lvlJc w:val="left"/>
      <w:pPr>
        <w:tabs>
          <w:tab w:val="num" w:pos="1440"/>
        </w:tabs>
        <w:ind w:left="1440" w:hanging="360"/>
      </w:pPr>
      <w:rPr>
        <w:rFonts w:ascii="Times New Roman" w:hAnsi="Times New Roman" w:hint="default"/>
      </w:rPr>
    </w:lvl>
    <w:lvl w:ilvl="2" w:tplc="309058DA" w:tentative="1">
      <w:start w:val="1"/>
      <w:numFmt w:val="bullet"/>
      <w:lvlText w:val="•"/>
      <w:lvlJc w:val="left"/>
      <w:pPr>
        <w:tabs>
          <w:tab w:val="num" w:pos="2160"/>
        </w:tabs>
        <w:ind w:left="2160" w:hanging="360"/>
      </w:pPr>
      <w:rPr>
        <w:rFonts w:ascii="Times New Roman" w:hAnsi="Times New Roman" w:hint="default"/>
      </w:rPr>
    </w:lvl>
    <w:lvl w:ilvl="3" w:tplc="1AC083EA" w:tentative="1">
      <w:start w:val="1"/>
      <w:numFmt w:val="bullet"/>
      <w:lvlText w:val="•"/>
      <w:lvlJc w:val="left"/>
      <w:pPr>
        <w:tabs>
          <w:tab w:val="num" w:pos="2880"/>
        </w:tabs>
        <w:ind w:left="2880" w:hanging="360"/>
      </w:pPr>
      <w:rPr>
        <w:rFonts w:ascii="Times New Roman" w:hAnsi="Times New Roman" w:hint="default"/>
      </w:rPr>
    </w:lvl>
    <w:lvl w:ilvl="4" w:tplc="4F7842D2" w:tentative="1">
      <w:start w:val="1"/>
      <w:numFmt w:val="bullet"/>
      <w:lvlText w:val="•"/>
      <w:lvlJc w:val="left"/>
      <w:pPr>
        <w:tabs>
          <w:tab w:val="num" w:pos="3600"/>
        </w:tabs>
        <w:ind w:left="3600" w:hanging="360"/>
      </w:pPr>
      <w:rPr>
        <w:rFonts w:ascii="Times New Roman" w:hAnsi="Times New Roman" w:hint="default"/>
      </w:rPr>
    </w:lvl>
    <w:lvl w:ilvl="5" w:tplc="E604D538" w:tentative="1">
      <w:start w:val="1"/>
      <w:numFmt w:val="bullet"/>
      <w:lvlText w:val="•"/>
      <w:lvlJc w:val="left"/>
      <w:pPr>
        <w:tabs>
          <w:tab w:val="num" w:pos="4320"/>
        </w:tabs>
        <w:ind w:left="4320" w:hanging="360"/>
      </w:pPr>
      <w:rPr>
        <w:rFonts w:ascii="Times New Roman" w:hAnsi="Times New Roman" w:hint="default"/>
      </w:rPr>
    </w:lvl>
    <w:lvl w:ilvl="6" w:tplc="700AA2B2" w:tentative="1">
      <w:start w:val="1"/>
      <w:numFmt w:val="bullet"/>
      <w:lvlText w:val="•"/>
      <w:lvlJc w:val="left"/>
      <w:pPr>
        <w:tabs>
          <w:tab w:val="num" w:pos="5040"/>
        </w:tabs>
        <w:ind w:left="5040" w:hanging="360"/>
      </w:pPr>
      <w:rPr>
        <w:rFonts w:ascii="Times New Roman" w:hAnsi="Times New Roman" w:hint="default"/>
      </w:rPr>
    </w:lvl>
    <w:lvl w:ilvl="7" w:tplc="2EDE68B8" w:tentative="1">
      <w:start w:val="1"/>
      <w:numFmt w:val="bullet"/>
      <w:lvlText w:val="•"/>
      <w:lvlJc w:val="left"/>
      <w:pPr>
        <w:tabs>
          <w:tab w:val="num" w:pos="5760"/>
        </w:tabs>
        <w:ind w:left="5760" w:hanging="360"/>
      </w:pPr>
      <w:rPr>
        <w:rFonts w:ascii="Times New Roman" w:hAnsi="Times New Roman" w:hint="default"/>
      </w:rPr>
    </w:lvl>
    <w:lvl w:ilvl="8" w:tplc="D938D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B47BFF"/>
    <w:multiLevelType w:val="hybridMultilevel"/>
    <w:tmpl w:val="E5DE1F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59418A"/>
    <w:multiLevelType w:val="hybridMultilevel"/>
    <w:tmpl w:val="F398958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856537"/>
    <w:multiLevelType w:val="hybridMultilevel"/>
    <w:tmpl w:val="6C0EEF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729532C"/>
    <w:multiLevelType w:val="hybridMultilevel"/>
    <w:tmpl w:val="E8525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256AB7"/>
    <w:multiLevelType w:val="hybridMultilevel"/>
    <w:tmpl w:val="6E6A3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FC5E1C"/>
    <w:multiLevelType w:val="hybridMultilevel"/>
    <w:tmpl w:val="4E5204CA"/>
    <w:lvl w:ilvl="0" w:tplc="00AE58BE">
      <w:start w:val="1"/>
      <w:numFmt w:val="bullet"/>
      <w:lvlText w:val="•"/>
      <w:lvlJc w:val="left"/>
      <w:pPr>
        <w:tabs>
          <w:tab w:val="num" w:pos="360"/>
        </w:tabs>
        <w:ind w:left="360" w:hanging="360"/>
      </w:pPr>
      <w:rPr>
        <w:rFonts w:ascii="Arial" w:hAnsi="Arial" w:hint="default"/>
      </w:rPr>
    </w:lvl>
    <w:lvl w:ilvl="1" w:tplc="D526CB70">
      <w:start w:val="150"/>
      <w:numFmt w:val="bullet"/>
      <w:lvlText w:val="–"/>
      <w:lvlJc w:val="left"/>
      <w:pPr>
        <w:tabs>
          <w:tab w:val="num" w:pos="1080"/>
        </w:tabs>
        <w:ind w:left="1080" w:hanging="360"/>
      </w:pPr>
      <w:rPr>
        <w:rFonts w:ascii="Arial" w:hAnsi="Arial" w:hint="default"/>
      </w:rPr>
    </w:lvl>
    <w:lvl w:ilvl="2" w:tplc="1DA80AF0" w:tentative="1">
      <w:start w:val="1"/>
      <w:numFmt w:val="bullet"/>
      <w:lvlText w:val="•"/>
      <w:lvlJc w:val="left"/>
      <w:pPr>
        <w:tabs>
          <w:tab w:val="num" w:pos="1800"/>
        </w:tabs>
        <w:ind w:left="1800" w:hanging="360"/>
      </w:pPr>
      <w:rPr>
        <w:rFonts w:ascii="Arial" w:hAnsi="Arial" w:hint="default"/>
      </w:rPr>
    </w:lvl>
    <w:lvl w:ilvl="3" w:tplc="E1088510" w:tentative="1">
      <w:start w:val="1"/>
      <w:numFmt w:val="bullet"/>
      <w:lvlText w:val="•"/>
      <w:lvlJc w:val="left"/>
      <w:pPr>
        <w:tabs>
          <w:tab w:val="num" w:pos="2520"/>
        </w:tabs>
        <w:ind w:left="2520" w:hanging="360"/>
      </w:pPr>
      <w:rPr>
        <w:rFonts w:ascii="Arial" w:hAnsi="Arial" w:hint="default"/>
      </w:rPr>
    </w:lvl>
    <w:lvl w:ilvl="4" w:tplc="5F26C97E" w:tentative="1">
      <w:start w:val="1"/>
      <w:numFmt w:val="bullet"/>
      <w:lvlText w:val="•"/>
      <w:lvlJc w:val="left"/>
      <w:pPr>
        <w:tabs>
          <w:tab w:val="num" w:pos="3240"/>
        </w:tabs>
        <w:ind w:left="3240" w:hanging="360"/>
      </w:pPr>
      <w:rPr>
        <w:rFonts w:ascii="Arial" w:hAnsi="Arial" w:hint="default"/>
      </w:rPr>
    </w:lvl>
    <w:lvl w:ilvl="5" w:tplc="8E865824" w:tentative="1">
      <w:start w:val="1"/>
      <w:numFmt w:val="bullet"/>
      <w:lvlText w:val="•"/>
      <w:lvlJc w:val="left"/>
      <w:pPr>
        <w:tabs>
          <w:tab w:val="num" w:pos="3960"/>
        </w:tabs>
        <w:ind w:left="3960" w:hanging="360"/>
      </w:pPr>
      <w:rPr>
        <w:rFonts w:ascii="Arial" w:hAnsi="Arial" w:hint="default"/>
      </w:rPr>
    </w:lvl>
    <w:lvl w:ilvl="6" w:tplc="E96460E6" w:tentative="1">
      <w:start w:val="1"/>
      <w:numFmt w:val="bullet"/>
      <w:lvlText w:val="•"/>
      <w:lvlJc w:val="left"/>
      <w:pPr>
        <w:tabs>
          <w:tab w:val="num" w:pos="4680"/>
        </w:tabs>
        <w:ind w:left="4680" w:hanging="360"/>
      </w:pPr>
      <w:rPr>
        <w:rFonts w:ascii="Arial" w:hAnsi="Arial" w:hint="default"/>
      </w:rPr>
    </w:lvl>
    <w:lvl w:ilvl="7" w:tplc="E6CCD272" w:tentative="1">
      <w:start w:val="1"/>
      <w:numFmt w:val="bullet"/>
      <w:lvlText w:val="•"/>
      <w:lvlJc w:val="left"/>
      <w:pPr>
        <w:tabs>
          <w:tab w:val="num" w:pos="5400"/>
        </w:tabs>
        <w:ind w:left="5400" w:hanging="360"/>
      </w:pPr>
      <w:rPr>
        <w:rFonts w:ascii="Arial" w:hAnsi="Arial" w:hint="default"/>
      </w:rPr>
    </w:lvl>
    <w:lvl w:ilvl="8" w:tplc="18D066F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0391558"/>
    <w:multiLevelType w:val="hybridMultilevel"/>
    <w:tmpl w:val="FE8CE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0337AF"/>
    <w:multiLevelType w:val="multilevel"/>
    <w:tmpl w:val="5F04AD5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51A3EE7"/>
    <w:multiLevelType w:val="hybridMultilevel"/>
    <w:tmpl w:val="E2AC9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2C7296"/>
    <w:multiLevelType w:val="multilevel"/>
    <w:tmpl w:val="572EF4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085D5E"/>
    <w:multiLevelType w:val="hybridMultilevel"/>
    <w:tmpl w:val="71D8E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4B6AB0"/>
    <w:multiLevelType w:val="hybridMultilevel"/>
    <w:tmpl w:val="6428AC0C"/>
    <w:lvl w:ilvl="0" w:tplc="D526CB70">
      <w:start w:val="150"/>
      <w:numFmt w:val="bullet"/>
      <w:lvlText w:val="–"/>
      <w:lvlJc w:val="left"/>
      <w:pPr>
        <w:tabs>
          <w:tab w:val="num" w:pos="720"/>
        </w:tabs>
        <w:ind w:left="720" w:hanging="360"/>
      </w:pPr>
      <w:rPr>
        <w:rFonts w:ascii="Arial" w:hAnsi="Arial" w:hint="default"/>
      </w:rPr>
    </w:lvl>
    <w:lvl w:ilvl="1" w:tplc="BCEE8AF4" w:tentative="1">
      <w:start w:val="1"/>
      <w:numFmt w:val="bullet"/>
      <w:lvlText w:val="•"/>
      <w:lvlJc w:val="left"/>
      <w:pPr>
        <w:tabs>
          <w:tab w:val="num" w:pos="1440"/>
        </w:tabs>
        <w:ind w:left="1440" w:hanging="360"/>
      </w:pPr>
      <w:rPr>
        <w:rFonts w:ascii="Times New Roman" w:hAnsi="Times New Roman" w:hint="default"/>
      </w:rPr>
    </w:lvl>
    <w:lvl w:ilvl="2" w:tplc="309058DA" w:tentative="1">
      <w:start w:val="1"/>
      <w:numFmt w:val="bullet"/>
      <w:lvlText w:val="•"/>
      <w:lvlJc w:val="left"/>
      <w:pPr>
        <w:tabs>
          <w:tab w:val="num" w:pos="2160"/>
        </w:tabs>
        <w:ind w:left="2160" w:hanging="360"/>
      </w:pPr>
      <w:rPr>
        <w:rFonts w:ascii="Times New Roman" w:hAnsi="Times New Roman" w:hint="default"/>
      </w:rPr>
    </w:lvl>
    <w:lvl w:ilvl="3" w:tplc="1AC083EA" w:tentative="1">
      <w:start w:val="1"/>
      <w:numFmt w:val="bullet"/>
      <w:lvlText w:val="•"/>
      <w:lvlJc w:val="left"/>
      <w:pPr>
        <w:tabs>
          <w:tab w:val="num" w:pos="2880"/>
        </w:tabs>
        <w:ind w:left="2880" w:hanging="360"/>
      </w:pPr>
      <w:rPr>
        <w:rFonts w:ascii="Times New Roman" w:hAnsi="Times New Roman" w:hint="default"/>
      </w:rPr>
    </w:lvl>
    <w:lvl w:ilvl="4" w:tplc="4F7842D2" w:tentative="1">
      <w:start w:val="1"/>
      <w:numFmt w:val="bullet"/>
      <w:lvlText w:val="•"/>
      <w:lvlJc w:val="left"/>
      <w:pPr>
        <w:tabs>
          <w:tab w:val="num" w:pos="3600"/>
        </w:tabs>
        <w:ind w:left="3600" w:hanging="360"/>
      </w:pPr>
      <w:rPr>
        <w:rFonts w:ascii="Times New Roman" w:hAnsi="Times New Roman" w:hint="default"/>
      </w:rPr>
    </w:lvl>
    <w:lvl w:ilvl="5" w:tplc="E604D538" w:tentative="1">
      <w:start w:val="1"/>
      <w:numFmt w:val="bullet"/>
      <w:lvlText w:val="•"/>
      <w:lvlJc w:val="left"/>
      <w:pPr>
        <w:tabs>
          <w:tab w:val="num" w:pos="4320"/>
        </w:tabs>
        <w:ind w:left="4320" w:hanging="360"/>
      </w:pPr>
      <w:rPr>
        <w:rFonts w:ascii="Times New Roman" w:hAnsi="Times New Roman" w:hint="default"/>
      </w:rPr>
    </w:lvl>
    <w:lvl w:ilvl="6" w:tplc="700AA2B2" w:tentative="1">
      <w:start w:val="1"/>
      <w:numFmt w:val="bullet"/>
      <w:lvlText w:val="•"/>
      <w:lvlJc w:val="left"/>
      <w:pPr>
        <w:tabs>
          <w:tab w:val="num" w:pos="5040"/>
        </w:tabs>
        <w:ind w:left="5040" w:hanging="360"/>
      </w:pPr>
      <w:rPr>
        <w:rFonts w:ascii="Times New Roman" w:hAnsi="Times New Roman" w:hint="default"/>
      </w:rPr>
    </w:lvl>
    <w:lvl w:ilvl="7" w:tplc="2EDE68B8" w:tentative="1">
      <w:start w:val="1"/>
      <w:numFmt w:val="bullet"/>
      <w:lvlText w:val="•"/>
      <w:lvlJc w:val="left"/>
      <w:pPr>
        <w:tabs>
          <w:tab w:val="num" w:pos="5760"/>
        </w:tabs>
        <w:ind w:left="5760" w:hanging="360"/>
      </w:pPr>
      <w:rPr>
        <w:rFonts w:ascii="Times New Roman" w:hAnsi="Times New Roman" w:hint="default"/>
      </w:rPr>
    </w:lvl>
    <w:lvl w:ilvl="8" w:tplc="D938D5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FC93E07"/>
    <w:multiLevelType w:val="hybridMultilevel"/>
    <w:tmpl w:val="B036A18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9424FB"/>
    <w:multiLevelType w:val="hybridMultilevel"/>
    <w:tmpl w:val="D5A01796"/>
    <w:lvl w:ilvl="0" w:tplc="31E0CAEC">
      <w:start w:val="1"/>
      <w:numFmt w:val="bullet"/>
      <w:lvlText w:val="•"/>
      <w:lvlJc w:val="left"/>
      <w:pPr>
        <w:tabs>
          <w:tab w:val="num" w:pos="720"/>
        </w:tabs>
        <w:ind w:left="720" w:hanging="360"/>
      </w:pPr>
      <w:rPr>
        <w:rFonts w:ascii="Arial" w:hAnsi="Arial" w:hint="default"/>
      </w:rPr>
    </w:lvl>
    <w:lvl w:ilvl="1" w:tplc="69C0542A" w:tentative="1">
      <w:start w:val="1"/>
      <w:numFmt w:val="bullet"/>
      <w:lvlText w:val="•"/>
      <w:lvlJc w:val="left"/>
      <w:pPr>
        <w:tabs>
          <w:tab w:val="num" w:pos="1440"/>
        </w:tabs>
        <w:ind w:left="1440" w:hanging="360"/>
      </w:pPr>
      <w:rPr>
        <w:rFonts w:ascii="Arial" w:hAnsi="Arial" w:hint="default"/>
      </w:rPr>
    </w:lvl>
    <w:lvl w:ilvl="2" w:tplc="5AF87026" w:tentative="1">
      <w:start w:val="1"/>
      <w:numFmt w:val="bullet"/>
      <w:lvlText w:val="•"/>
      <w:lvlJc w:val="left"/>
      <w:pPr>
        <w:tabs>
          <w:tab w:val="num" w:pos="2160"/>
        </w:tabs>
        <w:ind w:left="2160" w:hanging="360"/>
      </w:pPr>
      <w:rPr>
        <w:rFonts w:ascii="Arial" w:hAnsi="Arial" w:hint="default"/>
      </w:rPr>
    </w:lvl>
    <w:lvl w:ilvl="3" w:tplc="E7E27B68" w:tentative="1">
      <w:start w:val="1"/>
      <w:numFmt w:val="bullet"/>
      <w:lvlText w:val="•"/>
      <w:lvlJc w:val="left"/>
      <w:pPr>
        <w:tabs>
          <w:tab w:val="num" w:pos="2880"/>
        </w:tabs>
        <w:ind w:left="2880" w:hanging="360"/>
      </w:pPr>
      <w:rPr>
        <w:rFonts w:ascii="Arial" w:hAnsi="Arial" w:hint="default"/>
      </w:rPr>
    </w:lvl>
    <w:lvl w:ilvl="4" w:tplc="A570488C" w:tentative="1">
      <w:start w:val="1"/>
      <w:numFmt w:val="bullet"/>
      <w:lvlText w:val="•"/>
      <w:lvlJc w:val="left"/>
      <w:pPr>
        <w:tabs>
          <w:tab w:val="num" w:pos="3600"/>
        </w:tabs>
        <w:ind w:left="3600" w:hanging="360"/>
      </w:pPr>
      <w:rPr>
        <w:rFonts w:ascii="Arial" w:hAnsi="Arial" w:hint="default"/>
      </w:rPr>
    </w:lvl>
    <w:lvl w:ilvl="5" w:tplc="8880FD5C" w:tentative="1">
      <w:start w:val="1"/>
      <w:numFmt w:val="bullet"/>
      <w:lvlText w:val="•"/>
      <w:lvlJc w:val="left"/>
      <w:pPr>
        <w:tabs>
          <w:tab w:val="num" w:pos="4320"/>
        </w:tabs>
        <w:ind w:left="4320" w:hanging="360"/>
      </w:pPr>
      <w:rPr>
        <w:rFonts w:ascii="Arial" w:hAnsi="Arial" w:hint="default"/>
      </w:rPr>
    </w:lvl>
    <w:lvl w:ilvl="6" w:tplc="3BB86C12" w:tentative="1">
      <w:start w:val="1"/>
      <w:numFmt w:val="bullet"/>
      <w:lvlText w:val="•"/>
      <w:lvlJc w:val="left"/>
      <w:pPr>
        <w:tabs>
          <w:tab w:val="num" w:pos="5040"/>
        </w:tabs>
        <w:ind w:left="5040" w:hanging="360"/>
      </w:pPr>
      <w:rPr>
        <w:rFonts w:ascii="Arial" w:hAnsi="Arial" w:hint="default"/>
      </w:rPr>
    </w:lvl>
    <w:lvl w:ilvl="7" w:tplc="89A041F8" w:tentative="1">
      <w:start w:val="1"/>
      <w:numFmt w:val="bullet"/>
      <w:lvlText w:val="•"/>
      <w:lvlJc w:val="left"/>
      <w:pPr>
        <w:tabs>
          <w:tab w:val="num" w:pos="5760"/>
        </w:tabs>
        <w:ind w:left="5760" w:hanging="360"/>
      </w:pPr>
      <w:rPr>
        <w:rFonts w:ascii="Arial" w:hAnsi="Arial" w:hint="default"/>
      </w:rPr>
    </w:lvl>
    <w:lvl w:ilvl="8" w:tplc="3A427B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67B2E81"/>
    <w:multiLevelType w:val="multilevel"/>
    <w:tmpl w:val="416C1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13359D"/>
    <w:multiLevelType w:val="hybridMultilevel"/>
    <w:tmpl w:val="8690B6E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F274B59"/>
    <w:multiLevelType w:val="hybridMultilevel"/>
    <w:tmpl w:val="974A8CAE"/>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3"/>
  </w:num>
  <w:num w:numId="3">
    <w:abstractNumId w:val="6"/>
  </w:num>
  <w:num w:numId="4">
    <w:abstractNumId w:val="16"/>
  </w:num>
  <w:num w:numId="5">
    <w:abstractNumId w:val="4"/>
  </w:num>
  <w:num w:numId="6">
    <w:abstractNumId w:val="8"/>
  </w:num>
  <w:num w:numId="7">
    <w:abstractNumId w:val="11"/>
  </w:num>
  <w:num w:numId="8">
    <w:abstractNumId w:val="10"/>
  </w:num>
  <w:num w:numId="9">
    <w:abstractNumId w:val="18"/>
  </w:num>
  <w:num w:numId="10">
    <w:abstractNumId w:val="12"/>
  </w:num>
  <w:num w:numId="11">
    <w:abstractNumId w:val="7"/>
  </w:num>
  <w:num w:numId="12">
    <w:abstractNumId w:val="0"/>
  </w:num>
  <w:num w:numId="13">
    <w:abstractNumId w:val="13"/>
  </w:num>
  <w:num w:numId="14">
    <w:abstractNumId w:val="20"/>
  </w:num>
  <w:num w:numId="15">
    <w:abstractNumId w:val="5"/>
  </w:num>
  <w:num w:numId="16">
    <w:abstractNumId w:val="2"/>
  </w:num>
  <w:num w:numId="17">
    <w:abstractNumId w:val="17"/>
  </w:num>
  <w:num w:numId="18">
    <w:abstractNumId w:val="19"/>
  </w:num>
  <w:num w:numId="19">
    <w:abstractNumId w:val="1"/>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4A3"/>
    <w:rsid w:val="00000BCA"/>
    <w:rsid w:val="000034F8"/>
    <w:rsid w:val="00014C5C"/>
    <w:rsid w:val="0002256E"/>
    <w:rsid w:val="000236F1"/>
    <w:rsid w:val="0002402E"/>
    <w:rsid w:val="00026CD3"/>
    <w:rsid w:val="00047C24"/>
    <w:rsid w:val="00047E86"/>
    <w:rsid w:val="00066017"/>
    <w:rsid w:val="000662CD"/>
    <w:rsid w:val="00066DA4"/>
    <w:rsid w:val="00070925"/>
    <w:rsid w:val="00071563"/>
    <w:rsid w:val="0007342F"/>
    <w:rsid w:val="0007704A"/>
    <w:rsid w:val="000863A8"/>
    <w:rsid w:val="00090401"/>
    <w:rsid w:val="00093593"/>
    <w:rsid w:val="000957CC"/>
    <w:rsid w:val="00096188"/>
    <w:rsid w:val="000969A4"/>
    <w:rsid w:val="000A2EA7"/>
    <w:rsid w:val="000A45E9"/>
    <w:rsid w:val="000B0921"/>
    <w:rsid w:val="000B122D"/>
    <w:rsid w:val="000B4EF2"/>
    <w:rsid w:val="000B5FBF"/>
    <w:rsid w:val="000C0F56"/>
    <w:rsid w:val="000C35A2"/>
    <w:rsid w:val="000C61FC"/>
    <w:rsid w:val="000C6472"/>
    <w:rsid w:val="000D2BAF"/>
    <w:rsid w:val="000D43A6"/>
    <w:rsid w:val="000D6E27"/>
    <w:rsid w:val="000D705A"/>
    <w:rsid w:val="000F337F"/>
    <w:rsid w:val="0011262B"/>
    <w:rsid w:val="00114E8D"/>
    <w:rsid w:val="00133E07"/>
    <w:rsid w:val="00134222"/>
    <w:rsid w:val="00142A8D"/>
    <w:rsid w:val="00156AB3"/>
    <w:rsid w:val="00156C87"/>
    <w:rsid w:val="00157DAD"/>
    <w:rsid w:val="00160406"/>
    <w:rsid w:val="0016743D"/>
    <w:rsid w:val="0017224A"/>
    <w:rsid w:val="00177FE7"/>
    <w:rsid w:val="00182357"/>
    <w:rsid w:val="001A0856"/>
    <w:rsid w:val="001C3506"/>
    <w:rsid w:val="001D1A3A"/>
    <w:rsid w:val="001D381C"/>
    <w:rsid w:val="001D4E31"/>
    <w:rsid w:val="001E43DC"/>
    <w:rsid w:val="001F02BC"/>
    <w:rsid w:val="001F0FA6"/>
    <w:rsid w:val="0021160B"/>
    <w:rsid w:val="00221D29"/>
    <w:rsid w:val="00221F17"/>
    <w:rsid w:val="00224C61"/>
    <w:rsid w:val="00234927"/>
    <w:rsid w:val="00234EB8"/>
    <w:rsid w:val="00235F18"/>
    <w:rsid w:val="0023623C"/>
    <w:rsid w:val="00242620"/>
    <w:rsid w:val="00260A75"/>
    <w:rsid w:val="0026669F"/>
    <w:rsid w:val="0028150C"/>
    <w:rsid w:val="00282B53"/>
    <w:rsid w:val="00290357"/>
    <w:rsid w:val="00293580"/>
    <w:rsid w:val="002B6D33"/>
    <w:rsid w:val="002C3538"/>
    <w:rsid w:val="002D35FF"/>
    <w:rsid w:val="002D3714"/>
    <w:rsid w:val="003021F9"/>
    <w:rsid w:val="00306EA0"/>
    <w:rsid w:val="0032469C"/>
    <w:rsid w:val="00333FE9"/>
    <w:rsid w:val="00335E1D"/>
    <w:rsid w:val="00336E21"/>
    <w:rsid w:val="0034274B"/>
    <w:rsid w:val="0035694D"/>
    <w:rsid w:val="003618BE"/>
    <w:rsid w:val="00362815"/>
    <w:rsid w:val="003704ED"/>
    <w:rsid w:val="003726CA"/>
    <w:rsid w:val="0037780E"/>
    <w:rsid w:val="003A00B1"/>
    <w:rsid w:val="003A1D16"/>
    <w:rsid w:val="003B3FA1"/>
    <w:rsid w:val="003B6744"/>
    <w:rsid w:val="003B725A"/>
    <w:rsid w:val="003D0235"/>
    <w:rsid w:val="003F05D5"/>
    <w:rsid w:val="003F379E"/>
    <w:rsid w:val="003F40FD"/>
    <w:rsid w:val="00400AFB"/>
    <w:rsid w:val="00403EA8"/>
    <w:rsid w:val="004150F5"/>
    <w:rsid w:val="00421004"/>
    <w:rsid w:val="00423B86"/>
    <w:rsid w:val="00426500"/>
    <w:rsid w:val="00460116"/>
    <w:rsid w:val="00464205"/>
    <w:rsid w:val="004740F1"/>
    <w:rsid w:val="00480BF4"/>
    <w:rsid w:val="00493026"/>
    <w:rsid w:val="004A12A7"/>
    <w:rsid w:val="004A1A99"/>
    <w:rsid w:val="004A1B66"/>
    <w:rsid w:val="004B39C1"/>
    <w:rsid w:val="004B6729"/>
    <w:rsid w:val="004C5048"/>
    <w:rsid w:val="004D46E1"/>
    <w:rsid w:val="004E128D"/>
    <w:rsid w:val="004E4D42"/>
    <w:rsid w:val="004E6E97"/>
    <w:rsid w:val="004F04B4"/>
    <w:rsid w:val="004F6088"/>
    <w:rsid w:val="005169F1"/>
    <w:rsid w:val="005215E8"/>
    <w:rsid w:val="00525E22"/>
    <w:rsid w:val="00530FD6"/>
    <w:rsid w:val="00547369"/>
    <w:rsid w:val="005812C5"/>
    <w:rsid w:val="00582797"/>
    <w:rsid w:val="005871E9"/>
    <w:rsid w:val="00591387"/>
    <w:rsid w:val="005974F2"/>
    <w:rsid w:val="005A09C0"/>
    <w:rsid w:val="005A1F57"/>
    <w:rsid w:val="005A71D2"/>
    <w:rsid w:val="005B6971"/>
    <w:rsid w:val="005D088C"/>
    <w:rsid w:val="005E1790"/>
    <w:rsid w:val="0060013B"/>
    <w:rsid w:val="0060216A"/>
    <w:rsid w:val="006052BF"/>
    <w:rsid w:val="00606ADE"/>
    <w:rsid w:val="006168AD"/>
    <w:rsid w:val="00626BA4"/>
    <w:rsid w:val="00637639"/>
    <w:rsid w:val="006420D8"/>
    <w:rsid w:val="00644DFF"/>
    <w:rsid w:val="00653D6C"/>
    <w:rsid w:val="00667788"/>
    <w:rsid w:val="006719DB"/>
    <w:rsid w:val="00673619"/>
    <w:rsid w:val="00674CF6"/>
    <w:rsid w:val="0067777A"/>
    <w:rsid w:val="00681DE7"/>
    <w:rsid w:val="0068746F"/>
    <w:rsid w:val="0069009D"/>
    <w:rsid w:val="00697934"/>
    <w:rsid w:val="006A0CDB"/>
    <w:rsid w:val="006A0D46"/>
    <w:rsid w:val="006B182C"/>
    <w:rsid w:val="006B1F86"/>
    <w:rsid w:val="006B5A4A"/>
    <w:rsid w:val="006C5879"/>
    <w:rsid w:val="006D1519"/>
    <w:rsid w:val="006E237F"/>
    <w:rsid w:val="006E78C0"/>
    <w:rsid w:val="006F3B67"/>
    <w:rsid w:val="006F425D"/>
    <w:rsid w:val="00713290"/>
    <w:rsid w:val="007171F1"/>
    <w:rsid w:val="00732FD7"/>
    <w:rsid w:val="00733C93"/>
    <w:rsid w:val="0073562E"/>
    <w:rsid w:val="00741621"/>
    <w:rsid w:val="0075265D"/>
    <w:rsid w:val="007625D4"/>
    <w:rsid w:val="007730C4"/>
    <w:rsid w:val="00776C97"/>
    <w:rsid w:val="00784FE0"/>
    <w:rsid w:val="0079602E"/>
    <w:rsid w:val="007B0D73"/>
    <w:rsid w:val="007B2114"/>
    <w:rsid w:val="007C0E37"/>
    <w:rsid w:val="007C72B7"/>
    <w:rsid w:val="007D4C70"/>
    <w:rsid w:val="007E6D8C"/>
    <w:rsid w:val="007F2EC9"/>
    <w:rsid w:val="007F5CFC"/>
    <w:rsid w:val="00817147"/>
    <w:rsid w:val="0082373C"/>
    <w:rsid w:val="00824459"/>
    <w:rsid w:val="0083096F"/>
    <w:rsid w:val="00843F6B"/>
    <w:rsid w:val="00845209"/>
    <w:rsid w:val="00845BF9"/>
    <w:rsid w:val="00847C76"/>
    <w:rsid w:val="00856D38"/>
    <w:rsid w:val="008652FB"/>
    <w:rsid w:val="00867B2C"/>
    <w:rsid w:val="00873330"/>
    <w:rsid w:val="00883326"/>
    <w:rsid w:val="00897C61"/>
    <w:rsid w:val="008A71D2"/>
    <w:rsid w:val="008B0935"/>
    <w:rsid w:val="008C26D5"/>
    <w:rsid w:val="008D56E1"/>
    <w:rsid w:val="008D6094"/>
    <w:rsid w:val="008F612B"/>
    <w:rsid w:val="00902A7F"/>
    <w:rsid w:val="00934070"/>
    <w:rsid w:val="009378F5"/>
    <w:rsid w:val="00951429"/>
    <w:rsid w:val="009675EA"/>
    <w:rsid w:val="00973B8D"/>
    <w:rsid w:val="009751F9"/>
    <w:rsid w:val="00985BAC"/>
    <w:rsid w:val="009A6A13"/>
    <w:rsid w:val="009B0C0A"/>
    <w:rsid w:val="009B6941"/>
    <w:rsid w:val="009D16E7"/>
    <w:rsid w:val="009D5E72"/>
    <w:rsid w:val="009F7C71"/>
    <w:rsid w:val="00A148E2"/>
    <w:rsid w:val="00A23816"/>
    <w:rsid w:val="00A26CCD"/>
    <w:rsid w:val="00A31505"/>
    <w:rsid w:val="00A454B6"/>
    <w:rsid w:val="00A51358"/>
    <w:rsid w:val="00A531F2"/>
    <w:rsid w:val="00A6013E"/>
    <w:rsid w:val="00A61C78"/>
    <w:rsid w:val="00A71C18"/>
    <w:rsid w:val="00A77B04"/>
    <w:rsid w:val="00AA2349"/>
    <w:rsid w:val="00AD1423"/>
    <w:rsid w:val="00AD3BCA"/>
    <w:rsid w:val="00AD4AEE"/>
    <w:rsid w:val="00AD69A0"/>
    <w:rsid w:val="00AD70AF"/>
    <w:rsid w:val="00B251D2"/>
    <w:rsid w:val="00B32639"/>
    <w:rsid w:val="00B46724"/>
    <w:rsid w:val="00B47197"/>
    <w:rsid w:val="00B66EDC"/>
    <w:rsid w:val="00B71149"/>
    <w:rsid w:val="00B72169"/>
    <w:rsid w:val="00B74218"/>
    <w:rsid w:val="00B77A7F"/>
    <w:rsid w:val="00B86FC7"/>
    <w:rsid w:val="00B879DE"/>
    <w:rsid w:val="00B912C3"/>
    <w:rsid w:val="00B92293"/>
    <w:rsid w:val="00BB19AC"/>
    <w:rsid w:val="00BB5A91"/>
    <w:rsid w:val="00BC26CE"/>
    <w:rsid w:val="00BC395A"/>
    <w:rsid w:val="00BC3B35"/>
    <w:rsid w:val="00BC42C7"/>
    <w:rsid w:val="00BD7AF8"/>
    <w:rsid w:val="00BF48F2"/>
    <w:rsid w:val="00BF6DBC"/>
    <w:rsid w:val="00C00172"/>
    <w:rsid w:val="00C005A9"/>
    <w:rsid w:val="00C01F47"/>
    <w:rsid w:val="00C04789"/>
    <w:rsid w:val="00C04F44"/>
    <w:rsid w:val="00C16E8E"/>
    <w:rsid w:val="00C2257D"/>
    <w:rsid w:val="00C23F65"/>
    <w:rsid w:val="00C261EA"/>
    <w:rsid w:val="00C35A0E"/>
    <w:rsid w:val="00C40213"/>
    <w:rsid w:val="00C444A7"/>
    <w:rsid w:val="00C47B34"/>
    <w:rsid w:val="00C55909"/>
    <w:rsid w:val="00C60C9F"/>
    <w:rsid w:val="00C726EA"/>
    <w:rsid w:val="00C74A1D"/>
    <w:rsid w:val="00C821FB"/>
    <w:rsid w:val="00C8694F"/>
    <w:rsid w:val="00C95205"/>
    <w:rsid w:val="00CB0AEF"/>
    <w:rsid w:val="00CB2B44"/>
    <w:rsid w:val="00CB4074"/>
    <w:rsid w:val="00CB431C"/>
    <w:rsid w:val="00CB7B06"/>
    <w:rsid w:val="00CC1C1D"/>
    <w:rsid w:val="00CE2125"/>
    <w:rsid w:val="00CF1F8D"/>
    <w:rsid w:val="00CF30A6"/>
    <w:rsid w:val="00CF33AD"/>
    <w:rsid w:val="00CF656A"/>
    <w:rsid w:val="00D01603"/>
    <w:rsid w:val="00D0258C"/>
    <w:rsid w:val="00D0270E"/>
    <w:rsid w:val="00D031E3"/>
    <w:rsid w:val="00D16BF7"/>
    <w:rsid w:val="00D17484"/>
    <w:rsid w:val="00D20550"/>
    <w:rsid w:val="00D26BFD"/>
    <w:rsid w:val="00D3638C"/>
    <w:rsid w:val="00D4198D"/>
    <w:rsid w:val="00D52194"/>
    <w:rsid w:val="00D65C24"/>
    <w:rsid w:val="00D709ED"/>
    <w:rsid w:val="00D744EE"/>
    <w:rsid w:val="00D80619"/>
    <w:rsid w:val="00D91B2A"/>
    <w:rsid w:val="00D96E95"/>
    <w:rsid w:val="00DA50A8"/>
    <w:rsid w:val="00DA74F6"/>
    <w:rsid w:val="00DB4182"/>
    <w:rsid w:val="00DC7E21"/>
    <w:rsid w:val="00DD4526"/>
    <w:rsid w:val="00DD4977"/>
    <w:rsid w:val="00DD6143"/>
    <w:rsid w:val="00DE01B4"/>
    <w:rsid w:val="00DF27A8"/>
    <w:rsid w:val="00DF43EA"/>
    <w:rsid w:val="00E0042B"/>
    <w:rsid w:val="00E261EB"/>
    <w:rsid w:val="00E33168"/>
    <w:rsid w:val="00E346F6"/>
    <w:rsid w:val="00E42F65"/>
    <w:rsid w:val="00E5598D"/>
    <w:rsid w:val="00E7228E"/>
    <w:rsid w:val="00E82B25"/>
    <w:rsid w:val="00E92831"/>
    <w:rsid w:val="00E9313B"/>
    <w:rsid w:val="00EA5C6A"/>
    <w:rsid w:val="00EA6DCA"/>
    <w:rsid w:val="00EB0CEB"/>
    <w:rsid w:val="00EB3A68"/>
    <w:rsid w:val="00EB5583"/>
    <w:rsid w:val="00EB7A63"/>
    <w:rsid w:val="00EC19A9"/>
    <w:rsid w:val="00EC5F5A"/>
    <w:rsid w:val="00ED0EFA"/>
    <w:rsid w:val="00ED2F51"/>
    <w:rsid w:val="00ED6F9B"/>
    <w:rsid w:val="00EE4A70"/>
    <w:rsid w:val="00EF2F56"/>
    <w:rsid w:val="00F073F0"/>
    <w:rsid w:val="00F11279"/>
    <w:rsid w:val="00F242E1"/>
    <w:rsid w:val="00F30C27"/>
    <w:rsid w:val="00F51570"/>
    <w:rsid w:val="00F6387E"/>
    <w:rsid w:val="00F65AFD"/>
    <w:rsid w:val="00F65B65"/>
    <w:rsid w:val="00F66BA9"/>
    <w:rsid w:val="00F7004E"/>
    <w:rsid w:val="00F74EA2"/>
    <w:rsid w:val="00F7503E"/>
    <w:rsid w:val="00F81773"/>
    <w:rsid w:val="00FA5EB6"/>
    <w:rsid w:val="00FB2A46"/>
    <w:rsid w:val="00FE369C"/>
    <w:rsid w:val="00FE3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C0C13F6"/>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85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lstomtale1">
    <w:name w:val="Uløst omtale1"/>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paragraph" w:styleId="NormalWeb">
    <w:name w:val="Normal (Web)"/>
    <w:basedOn w:val="Normal"/>
    <w:uiPriority w:val="99"/>
    <w:unhideWhenUsed/>
    <w:rsid w:val="00A148E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A148E2"/>
    <w:rPr>
      <w:b/>
      <w:bCs/>
    </w:rPr>
  </w:style>
  <w:style w:type="character" w:customStyle="1" w:styleId="tlid-translation">
    <w:name w:val="tlid-translation"/>
    <w:basedOn w:val="Standardskrifttypeiafsnit"/>
    <w:rsid w:val="003618BE"/>
  </w:style>
  <w:style w:type="character" w:customStyle="1" w:styleId="Overskrift1Tegn">
    <w:name w:val="Overskrift 1 Tegn"/>
    <w:basedOn w:val="Standardskrifttypeiafsnit"/>
    <w:link w:val="Overskrift1"/>
    <w:uiPriority w:val="9"/>
    <w:rsid w:val="00985BAC"/>
    <w:rPr>
      <w:rFonts w:asciiTheme="majorHAnsi" w:eastAsiaTheme="majorEastAsia" w:hAnsiTheme="majorHAnsi" w:cstheme="majorBidi"/>
      <w:color w:val="2E74B5" w:themeColor="accent1" w:themeShade="BF"/>
      <w:sz w:val="32"/>
      <w:szCs w:val="32"/>
    </w:rPr>
  </w:style>
  <w:style w:type="paragraph" w:styleId="Indholdsfortegnelse1">
    <w:name w:val="toc 1"/>
    <w:basedOn w:val="Normal"/>
    <w:next w:val="Normal"/>
    <w:autoRedefine/>
    <w:uiPriority w:val="39"/>
    <w:qFormat/>
    <w:rsid w:val="005169F1"/>
    <w:pPr>
      <w:spacing w:before="120" w:after="240" w:line="312" w:lineRule="auto"/>
    </w:pPr>
    <w:rPr>
      <w:rFonts w:eastAsia="Times New Roman" w:cs="Times New Roman"/>
      <w:b/>
      <w:bCs/>
      <w:caps/>
      <w:color w:val="141414"/>
      <w:sz w:val="20"/>
      <w:szCs w:val="20"/>
      <w:lang w:val="sv-SE" w:eastAsia="sv-SE"/>
    </w:rPr>
  </w:style>
  <w:style w:type="paragraph" w:customStyle="1" w:styleId="Brdtext">
    <w:name w:val="Brödtext+"/>
    <w:basedOn w:val="Brdtekst"/>
    <w:qFormat/>
    <w:rsid w:val="005871E9"/>
    <w:pPr>
      <w:spacing w:before="240" w:line="312" w:lineRule="auto"/>
    </w:pPr>
    <w:rPr>
      <w:rFonts w:ascii="HelveticaNeueLT W1G 55 Roman" w:eastAsia="Times New Roman" w:hAnsi="HelveticaNeueLT W1G 55 Roman" w:cs="Times New Roman"/>
      <w:color w:val="141414"/>
      <w:sz w:val="20"/>
      <w:szCs w:val="20"/>
      <w:lang w:val="sv-SE" w:eastAsia="sv-SE"/>
    </w:rPr>
  </w:style>
  <w:style w:type="table" w:styleId="Lysliste">
    <w:name w:val="Light List"/>
    <w:basedOn w:val="Tabel-Normal"/>
    <w:uiPriority w:val="61"/>
    <w:rsid w:val="005871E9"/>
    <w:pPr>
      <w:spacing w:after="0" w:line="240" w:lineRule="auto"/>
    </w:pPr>
    <w:rPr>
      <w:rFonts w:ascii="HelveticaNeueLT W1G 55 Roman" w:eastAsia="Times New Roman" w:hAnsi="HelveticaNeueLT W1G 55 Roman" w:cs="Times New Roman"/>
      <w:color w:val="141414"/>
      <w:sz w:val="20"/>
      <w:szCs w:val="20"/>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rdtekst">
    <w:name w:val="Body Text"/>
    <w:basedOn w:val="Normal"/>
    <w:link w:val="BrdtekstTegn"/>
    <w:uiPriority w:val="99"/>
    <w:semiHidden/>
    <w:unhideWhenUsed/>
    <w:rsid w:val="005871E9"/>
    <w:pPr>
      <w:spacing w:after="120"/>
    </w:pPr>
  </w:style>
  <w:style w:type="character" w:customStyle="1" w:styleId="BrdtekstTegn">
    <w:name w:val="Brødtekst Tegn"/>
    <w:basedOn w:val="Standardskrifttypeiafsnit"/>
    <w:link w:val="Brdtekst"/>
    <w:uiPriority w:val="99"/>
    <w:semiHidden/>
    <w:rsid w:val="005871E9"/>
  </w:style>
  <w:style w:type="paragraph" w:customStyle="1" w:styleId="Default">
    <w:name w:val="Default"/>
    <w:rsid w:val="003F379E"/>
    <w:pPr>
      <w:autoSpaceDE w:val="0"/>
      <w:autoSpaceDN w:val="0"/>
      <w:adjustRightInd w:val="0"/>
      <w:spacing w:after="0" w:line="240" w:lineRule="auto"/>
    </w:pPr>
    <w:rPr>
      <w:rFonts w:ascii="Arial" w:hAnsi="Arial" w:cs="Arial"/>
      <w:color w:val="000000"/>
      <w:sz w:val="24"/>
      <w:szCs w:val="24"/>
      <w:lang w:val="sv-SE"/>
    </w:rPr>
  </w:style>
  <w:style w:type="character" w:styleId="Ulstomtale">
    <w:name w:val="Unresolved Mention"/>
    <w:basedOn w:val="Standardskrifttypeiafsnit"/>
    <w:uiPriority w:val="99"/>
    <w:semiHidden/>
    <w:unhideWhenUsed/>
    <w:rsid w:val="00400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6014">
      <w:bodyDiv w:val="1"/>
      <w:marLeft w:val="0"/>
      <w:marRight w:val="0"/>
      <w:marTop w:val="0"/>
      <w:marBottom w:val="0"/>
      <w:divBdr>
        <w:top w:val="none" w:sz="0" w:space="0" w:color="auto"/>
        <w:left w:val="none" w:sz="0" w:space="0" w:color="auto"/>
        <w:bottom w:val="none" w:sz="0" w:space="0" w:color="auto"/>
        <w:right w:val="none" w:sz="0" w:space="0" w:color="auto"/>
      </w:divBdr>
      <w:divsChild>
        <w:div w:id="1466581429">
          <w:marLeft w:val="0"/>
          <w:marRight w:val="0"/>
          <w:marTop w:val="0"/>
          <w:marBottom w:val="0"/>
          <w:divBdr>
            <w:top w:val="none" w:sz="0" w:space="0" w:color="auto"/>
            <w:left w:val="none" w:sz="0" w:space="0" w:color="auto"/>
            <w:bottom w:val="none" w:sz="0" w:space="0" w:color="auto"/>
            <w:right w:val="none" w:sz="0" w:space="0" w:color="auto"/>
          </w:divBdr>
          <w:divsChild>
            <w:div w:id="857504834">
              <w:marLeft w:val="0"/>
              <w:marRight w:val="0"/>
              <w:marTop w:val="0"/>
              <w:marBottom w:val="0"/>
              <w:divBdr>
                <w:top w:val="none" w:sz="0" w:space="0" w:color="auto"/>
                <w:left w:val="none" w:sz="0" w:space="0" w:color="auto"/>
                <w:bottom w:val="none" w:sz="0" w:space="0" w:color="auto"/>
                <w:right w:val="none" w:sz="0" w:space="0" w:color="auto"/>
              </w:divBdr>
              <w:divsChild>
                <w:div w:id="921523047">
                  <w:marLeft w:val="0"/>
                  <w:marRight w:val="0"/>
                  <w:marTop w:val="0"/>
                  <w:marBottom w:val="0"/>
                  <w:divBdr>
                    <w:top w:val="none" w:sz="0" w:space="0" w:color="auto"/>
                    <w:left w:val="none" w:sz="0" w:space="0" w:color="auto"/>
                    <w:bottom w:val="none" w:sz="0" w:space="0" w:color="auto"/>
                    <w:right w:val="none" w:sz="0" w:space="0" w:color="auto"/>
                  </w:divBdr>
                  <w:divsChild>
                    <w:div w:id="12558913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42448648">
              <w:marLeft w:val="0"/>
              <w:marRight w:val="0"/>
              <w:marTop w:val="0"/>
              <w:marBottom w:val="0"/>
              <w:divBdr>
                <w:top w:val="none" w:sz="0" w:space="0" w:color="auto"/>
                <w:left w:val="none" w:sz="0" w:space="0" w:color="auto"/>
                <w:bottom w:val="none" w:sz="0" w:space="0" w:color="auto"/>
                <w:right w:val="none" w:sz="0" w:space="0" w:color="auto"/>
              </w:divBdr>
              <w:divsChild>
                <w:div w:id="606427542">
                  <w:marLeft w:val="0"/>
                  <w:marRight w:val="0"/>
                  <w:marTop w:val="0"/>
                  <w:marBottom w:val="0"/>
                  <w:divBdr>
                    <w:top w:val="none" w:sz="0" w:space="0" w:color="auto"/>
                    <w:left w:val="none" w:sz="0" w:space="0" w:color="auto"/>
                    <w:bottom w:val="none" w:sz="0" w:space="0" w:color="auto"/>
                    <w:right w:val="none" w:sz="0" w:space="0" w:color="auto"/>
                  </w:divBdr>
                  <w:divsChild>
                    <w:div w:id="1248342127">
                      <w:marLeft w:val="0"/>
                      <w:marRight w:val="0"/>
                      <w:marTop w:val="0"/>
                      <w:marBottom w:val="0"/>
                      <w:divBdr>
                        <w:top w:val="none" w:sz="0" w:space="0" w:color="auto"/>
                        <w:left w:val="none" w:sz="0" w:space="0" w:color="auto"/>
                        <w:bottom w:val="none" w:sz="0" w:space="0" w:color="auto"/>
                        <w:right w:val="none" w:sz="0" w:space="0" w:color="auto"/>
                      </w:divBdr>
                      <w:divsChild>
                        <w:div w:id="197007128">
                          <w:marLeft w:val="0"/>
                          <w:marRight w:val="0"/>
                          <w:marTop w:val="0"/>
                          <w:marBottom w:val="0"/>
                          <w:divBdr>
                            <w:top w:val="none" w:sz="0" w:space="0" w:color="auto"/>
                            <w:left w:val="none" w:sz="0" w:space="0" w:color="auto"/>
                            <w:bottom w:val="none" w:sz="0" w:space="0" w:color="auto"/>
                            <w:right w:val="none" w:sz="0" w:space="0" w:color="auto"/>
                          </w:divBdr>
                        </w:div>
                        <w:div w:id="1622028647">
                          <w:marLeft w:val="0"/>
                          <w:marRight w:val="0"/>
                          <w:marTop w:val="0"/>
                          <w:marBottom w:val="0"/>
                          <w:divBdr>
                            <w:top w:val="none" w:sz="0" w:space="0" w:color="auto"/>
                            <w:left w:val="none" w:sz="0" w:space="0" w:color="auto"/>
                            <w:bottom w:val="none" w:sz="0" w:space="0" w:color="auto"/>
                            <w:right w:val="none" w:sz="0" w:space="0" w:color="auto"/>
                          </w:divBdr>
                          <w:divsChild>
                            <w:div w:id="605962427">
                              <w:marLeft w:val="0"/>
                              <w:marRight w:val="300"/>
                              <w:marTop w:val="180"/>
                              <w:marBottom w:val="0"/>
                              <w:divBdr>
                                <w:top w:val="none" w:sz="0" w:space="0" w:color="auto"/>
                                <w:left w:val="none" w:sz="0" w:space="0" w:color="auto"/>
                                <w:bottom w:val="none" w:sz="0" w:space="0" w:color="auto"/>
                                <w:right w:val="none" w:sz="0" w:space="0" w:color="auto"/>
                              </w:divBdr>
                              <w:divsChild>
                                <w:div w:id="2041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869625">
          <w:marLeft w:val="0"/>
          <w:marRight w:val="0"/>
          <w:marTop w:val="0"/>
          <w:marBottom w:val="0"/>
          <w:divBdr>
            <w:top w:val="none" w:sz="0" w:space="0" w:color="auto"/>
            <w:left w:val="none" w:sz="0" w:space="0" w:color="auto"/>
            <w:bottom w:val="none" w:sz="0" w:space="0" w:color="auto"/>
            <w:right w:val="none" w:sz="0" w:space="0" w:color="auto"/>
          </w:divBdr>
          <w:divsChild>
            <w:div w:id="1614091106">
              <w:marLeft w:val="0"/>
              <w:marRight w:val="0"/>
              <w:marTop w:val="0"/>
              <w:marBottom w:val="0"/>
              <w:divBdr>
                <w:top w:val="none" w:sz="0" w:space="0" w:color="auto"/>
                <w:left w:val="none" w:sz="0" w:space="0" w:color="auto"/>
                <w:bottom w:val="none" w:sz="0" w:space="0" w:color="auto"/>
                <w:right w:val="none" w:sz="0" w:space="0" w:color="auto"/>
              </w:divBdr>
              <w:divsChild>
                <w:div w:id="1682858357">
                  <w:marLeft w:val="0"/>
                  <w:marRight w:val="0"/>
                  <w:marTop w:val="0"/>
                  <w:marBottom w:val="0"/>
                  <w:divBdr>
                    <w:top w:val="none" w:sz="0" w:space="0" w:color="auto"/>
                    <w:left w:val="none" w:sz="0" w:space="0" w:color="auto"/>
                    <w:bottom w:val="none" w:sz="0" w:space="0" w:color="auto"/>
                    <w:right w:val="none" w:sz="0" w:space="0" w:color="auto"/>
                  </w:divBdr>
                  <w:divsChild>
                    <w:div w:id="1090004247">
                      <w:marLeft w:val="0"/>
                      <w:marRight w:val="0"/>
                      <w:marTop w:val="0"/>
                      <w:marBottom w:val="0"/>
                      <w:divBdr>
                        <w:top w:val="none" w:sz="0" w:space="0" w:color="auto"/>
                        <w:left w:val="none" w:sz="0" w:space="0" w:color="auto"/>
                        <w:bottom w:val="none" w:sz="0" w:space="0" w:color="auto"/>
                        <w:right w:val="none" w:sz="0" w:space="0" w:color="auto"/>
                      </w:divBdr>
                      <w:divsChild>
                        <w:div w:id="1367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8974">
      <w:bodyDiv w:val="1"/>
      <w:marLeft w:val="0"/>
      <w:marRight w:val="0"/>
      <w:marTop w:val="0"/>
      <w:marBottom w:val="0"/>
      <w:divBdr>
        <w:top w:val="none" w:sz="0" w:space="0" w:color="auto"/>
        <w:left w:val="none" w:sz="0" w:space="0" w:color="auto"/>
        <w:bottom w:val="none" w:sz="0" w:space="0" w:color="auto"/>
        <w:right w:val="none" w:sz="0" w:space="0" w:color="auto"/>
      </w:divBdr>
      <w:divsChild>
        <w:div w:id="430704825">
          <w:marLeft w:val="0"/>
          <w:marRight w:val="0"/>
          <w:marTop w:val="0"/>
          <w:marBottom w:val="0"/>
          <w:divBdr>
            <w:top w:val="none" w:sz="0" w:space="0" w:color="auto"/>
            <w:left w:val="none" w:sz="0" w:space="0" w:color="auto"/>
            <w:bottom w:val="none" w:sz="0" w:space="0" w:color="auto"/>
            <w:right w:val="none" w:sz="0" w:space="0" w:color="auto"/>
          </w:divBdr>
          <w:divsChild>
            <w:div w:id="635448731">
              <w:marLeft w:val="0"/>
              <w:marRight w:val="0"/>
              <w:marTop w:val="0"/>
              <w:marBottom w:val="0"/>
              <w:divBdr>
                <w:top w:val="none" w:sz="0" w:space="0" w:color="auto"/>
                <w:left w:val="none" w:sz="0" w:space="0" w:color="auto"/>
                <w:bottom w:val="none" w:sz="0" w:space="0" w:color="auto"/>
                <w:right w:val="none" w:sz="0" w:space="0" w:color="auto"/>
              </w:divBdr>
              <w:divsChild>
                <w:div w:id="1476289003">
                  <w:marLeft w:val="0"/>
                  <w:marRight w:val="0"/>
                  <w:marTop w:val="0"/>
                  <w:marBottom w:val="0"/>
                  <w:divBdr>
                    <w:top w:val="none" w:sz="0" w:space="0" w:color="auto"/>
                    <w:left w:val="none" w:sz="0" w:space="0" w:color="auto"/>
                    <w:bottom w:val="none" w:sz="0" w:space="0" w:color="auto"/>
                    <w:right w:val="none" w:sz="0" w:space="0" w:color="auto"/>
                  </w:divBdr>
                  <w:divsChild>
                    <w:div w:id="130450264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093508065">
              <w:marLeft w:val="0"/>
              <w:marRight w:val="0"/>
              <w:marTop w:val="0"/>
              <w:marBottom w:val="0"/>
              <w:divBdr>
                <w:top w:val="none" w:sz="0" w:space="0" w:color="auto"/>
                <w:left w:val="none" w:sz="0" w:space="0" w:color="auto"/>
                <w:bottom w:val="none" w:sz="0" w:space="0" w:color="auto"/>
                <w:right w:val="none" w:sz="0" w:space="0" w:color="auto"/>
              </w:divBdr>
              <w:divsChild>
                <w:div w:id="2057775163">
                  <w:marLeft w:val="0"/>
                  <w:marRight w:val="0"/>
                  <w:marTop w:val="0"/>
                  <w:marBottom w:val="0"/>
                  <w:divBdr>
                    <w:top w:val="none" w:sz="0" w:space="0" w:color="auto"/>
                    <w:left w:val="none" w:sz="0" w:space="0" w:color="auto"/>
                    <w:bottom w:val="none" w:sz="0" w:space="0" w:color="auto"/>
                    <w:right w:val="none" w:sz="0" w:space="0" w:color="auto"/>
                  </w:divBdr>
                  <w:divsChild>
                    <w:div w:id="32000642">
                      <w:marLeft w:val="0"/>
                      <w:marRight w:val="0"/>
                      <w:marTop w:val="0"/>
                      <w:marBottom w:val="0"/>
                      <w:divBdr>
                        <w:top w:val="none" w:sz="0" w:space="0" w:color="auto"/>
                        <w:left w:val="none" w:sz="0" w:space="0" w:color="auto"/>
                        <w:bottom w:val="none" w:sz="0" w:space="0" w:color="auto"/>
                        <w:right w:val="none" w:sz="0" w:space="0" w:color="auto"/>
                      </w:divBdr>
                      <w:divsChild>
                        <w:div w:id="609705643">
                          <w:marLeft w:val="0"/>
                          <w:marRight w:val="0"/>
                          <w:marTop w:val="0"/>
                          <w:marBottom w:val="0"/>
                          <w:divBdr>
                            <w:top w:val="none" w:sz="0" w:space="0" w:color="auto"/>
                            <w:left w:val="none" w:sz="0" w:space="0" w:color="auto"/>
                            <w:bottom w:val="none" w:sz="0" w:space="0" w:color="auto"/>
                            <w:right w:val="none" w:sz="0" w:space="0" w:color="auto"/>
                          </w:divBdr>
                        </w:div>
                        <w:div w:id="1234513516">
                          <w:marLeft w:val="0"/>
                          <w:marRight w:val="0"/>
                          <w:marTop w:val="0"/>
                          <w:marBottom w:val="0"/>
                          <w:divBdr>
                            <w:top w:val="none" w:sz="0" w:space="0" w:color="auto"/>
                            <w:left w:val="none" w:sz="0" w:space="0" w:color="auto"/>
                            <w:bottom w:val="none" w:sz="0" w:space="0" w:color="auto"/>
                            <w:right w:val="none" w:sz="0" w:space="0" w:color="auto"/>
                          </w:divBdr>
                          <w:divsChild>
                            <w:div w:id="948240809">
                              <w:marLeft w:val="0"/>
                              <w:marRight w:val="300"/>
                              <w:marTop w:val="180"/>
                              <w:marBottom w:val="0"/>
                              <w:divBdr>
                                <w:top w:val="none" w:sz="0" w:space="0" w:color="auto"/>
                                <w:left w:val="none" w:sz="0" w:space="0" w:color="auto"/>
                                <w:bottom w:val="none" w:sz="0" w:space="0" w:color="auto"/>
                                <w:right w:val="none" w:sz="0" w:space="0" w:color="auto"/>
                              </w:divBdr>
                              <w:divsChild>
                                <w:div w:id="20843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78753">
          <w:marLeft w:val="0"/>
          <w:marRight w:val="0"/>
          <w:marTop w:val="0"/>
          <w:marBottom w:val="0"/>
          <w:divBdr>
            <w:top w:val="none" w:sz="0" w:space="0" w:color="auto"/>
            <w:left w:val="none" w:sz="0" w:space="0" w:color="auto"/>
            <w:bottom w:val="none" w:sz="0" w:space="0" w:color="auto"/>
            <w:right w:val="none" w:sz="0" w:space="0" w:color="auto"/>
          </w:divBdr>
          <w:divsChild>
            <w:div w:id="280383908">
              <w:marLeft w:val="0"/>
              <w:marRight w:val="0"/>
              <w:marTop w:val="0"/>
              <w:marBottom w:val="0"/>
              <w:divBdr>
                <w:top w:val="none" w:sz="0" w:space="0" w:color="auto"/>
                <w:left w:val="none" w:sz="0" w:space="0" w:color="auto"/>
                <w:bottom w:val="none" w:sz="0" w:space="0" w:color="auto"/>
                <w:right w:val="none" w:sz="0" w:space="0" w:color="auto"/>
              </w:divBdr>
              <w:divsChild>
                <w:div w:id="1006981486">
                  <w:marLeft w:val="0"/>
                  <w:marRight w:val="0"/>
                  <w:marTop w:val="0"/>
                  <w:marBottom w:val="0"/>
                  <w:divBdr>
                    <w:top w:val="none" w:sz="0" w:space="0" w:color="auto"/>
                    <w:left w:val="none" w:sz="0" w:space="0" w:color="auto"/>
                    <w:bottom w:val="none" w:sz="0" w:space="0" w:color="auto"/>
                    <w:right w:val="none" w:sz="0" w:space="0" w:color="auto"/>
                  </w:divBdr>
                  <w:divsChild>
                    <w:div w:id="86779107">
                      <w:marLeft w:val="0"/>
                      <w:marRight w:val="0"/>
                      <w:marTop w:val="0"/>
                      <w:marBottom w:val="0"/>
                      <w:divBdr>
                        <w:top w:val="none" w:sz="0" w:space="0" w:color="auto"/>
                        <w:left w:val="none" w:sz="0" w:space="0" w:color="auto"/>
                        <w:bottom w:val="none" w:sz="0" w:space="0" w:color="auto"/>
                        <w:right w:val="none" w:sz="0" w:space="0" w:color="auto"/>
                      </w:divBdr>
                      <w:divsChild>
                        <w:div w:id="5404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5081">
      <w:bodyDiv w:val="1"/>
      <w:marLeft w:val="0"/>
      <w:marRight w:val="0"/>
      <w:marTop w:val="0"/>
      <w:marBottom w:val="0"/>
      <w:divBdr>
        <w:top w:val="none" w:sz="0" w:space="0" w:color="auto"/>
        <w:left w:val="none" w:sz="0" w:space="0" w:color="auto"/>
        <w:bottom w:val="none" w:sz="0" w:space="0" w:color="auto"/>
        <w:right w:val="none" w:sz="0" w:space="0" w:color="auto"/>
      </w:divBdr>
      <w:divsChild>
        <w:div w:id="260453262">
          <w:marLeft w:val="619"/>
          <w:marRight w:val="0"/>
          <w:marTop w:val="158"/>
          <w:marBottom w:val="0"/>
          <w:divBdr>
            <w:top w:val="none" w:sz="0" w:space="0" w:color="auto"/>
            <w:left w:val="none" w:sz="0" w:space="0" w:color="auto"/>
            <w:bottom w:val="none" w:sz="0" w:space="0" w:color="auto"/>
            <w:right w:val="none" w:sz="0" w:space="0" w:color="auto"/>
          </w:divBdr>
        </w:div>
        <w:div w:id="1515996587">
          <w:marLeft w:val="619"/>
          <w:marRight w:val="0"/>
          <w:marTop w:val="158"/>
          <w:marBottom w:val="0"/>
          <w:divBdr>
            <w:top w:val="none" w:sz="0" w:space="0" w:color="auto"/>
            <w:left w:val="none" w:sz="0" w:space="0" w:color="auto"/>
            <w:bottom w:val="none" w:sz="0" w:space="0" w:color="auto"/>
            <w:right w:val="none" w:sz="0" w:space="0" w:color="auto"/>
          </w:divBdr>
        </w:div>
        <w:div w:id="1884054147">
          <w:marLeft w:val="619"/>
          <w:marRight w:val="0"/>
          <w:marTop w:val="158"/>
          <w:marBottom w:val="0"/>
          <w:divBdr>
            <w:top w:val="none" w:sz="0" w:space="0" w:color="auto"/>
            <w:left w:val="none" w:sz="0" w:space="0" w:color="auto"/>
            <w:bottom w:val="none" w:sz="0" w:space="0" w:color="auto"/>
            <w:right w:val="none" w:sz="0" w:space="0" w:color="auto"/>
          </w:divBdr>
        </w:div>
        <w:div w:id="612130387">
          <w:marLeft w:val="619"/>
          <w:marRight w:val="0"/>
          <w:marTop w:val="158"/>
          <w:marBottom w:val="0"/>
          <w:divBdr>
            <w:top w:val="none" w:sz="0" w:space="0" w:color="auto"/>
            <w:left w:val="none" w:sz="0" w:space="0" w:color="auto"/>
            <w:bottom w:val="none" w:sz="0" w:space="0" w:color="auto"/>
            <w:right w:val="none" w:sz="0" w:space="0" w:color="auto"/>
          </w:divBdr>
        </w:div>
        <w:div w:id="2039819951">
          <w:marLeft w:val="619"/>
          <w:marRight w:val="0"/>
          <w:marTop w:val="158"/>
          <w:marBottom w:val="0"/>
          <w:divBdr>
            <w:top w:val="none" w:sz="0" w:space="0" w:color="auto"/>
            <w:left w:val="none" w:sz="0" w:space="0" w:color="auto"/>
            <w:bottom w:val="none" w:sz="0" w:space="0" w:color="auto"/>
            <w:right w:val="none" w:sz="0" w:space="0" w:color="auto"/>
          </w:divBdr>
        </w:div>
      </w:divsChild>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643655301">
      <w:bodyDiv w:val="1"/>
      <w:marLeft w:val="0"/>
      <w:marRight w:val="0"/>
      <w:marTop w:val="0"/>
      <w:marBottom w:val="0"/>
      <w:divBdr>
        <w:top w:val="none" w:sz="0" w:space="0" w:color="auto"/>
        <w:left w:val="none" w:sz="0" w:space="0" w:color="auto"/>
        <w:bottom w:val="none" w:sz="0" w:space="0" w:color="auto"/>
        <w:right w:val="none" w:sz="0" w:space="0" w:color="auto"/>
      </w:divBdr>
      <w:divsChild>
        <w:div w:id="1943802418">
          <w:marLeft w:val="0"/>
          <w:marRight w:val="0"/>
          <w:marTop w:val="0"/>
          <w:marBottom w:val="0"/>
          <w:divBdr>
            <w:top w:val="none" w:sz="0" w:space="0" w:color="auto"/>
            <w:left w:val="none" w:sz="0" w:space="0" w:color="auto"/>
            <w:bottom w:val="none" w:sz="0" w:space="0" w:color="auto"/>
            <w:right w:val="none" w:sz="0" w:space="0" w:color="auto"/>
          </w:divBdr>
          <w:divsChild>
            <w:div w:id="1088963115">
              <w:marLeft w:val="0"/>
              <w:marRight w:val="0"/>
              <w:marTop w:val="0"/>
              <w:marBottom w:val="0"/>
              <w:divBdr>
                <w:top w:val="none" w:sz="0" w:space="0" w:color="auto"/>
                <w:left w:val="none" w:sz="0" w:space="0" w:color="auto"/>
                <w:bottom w:val="none" w:sz="0" w:space="0" w:color="auto"/>
                <w:right w:val="none" w:sz="0" w:space="0" w:color="auto"/>
              </w:divBdr>
              <w:divsChild>
                <w:div w:id="228152387">
                  <w:marLeft w:val="0"/>
                  <w:marRight w:val="0"/>
                  <w:marTop w:val="0"/>
                  <w:marBottom w:val="0"/>
                  <w:divBdr>
                    <w:top w:val="none" w:sz="0" w:space="0" w:color="auto"/>
                    <w:left w:val="none" w:sz="0" w:space="0" w:color="auto"/>
                    <w:bottom w:val="none" w:sz="0" w:space="0" w:color="auto"/>
                    <w:right w:val="none" w:sz="0" w:space="0" w:color="auto"/>
                  </w:divBdr>
                  <w:divsChild>
                    <w:div w:id="202801788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010765311">
              <w:marLeft w:val="0"/>
              <w:marRight w:val="0"/>
              <w:marTop w:val="0"/>
              <w:marBottom w:val="0"/>
              <w:divBdr>
                <w:top w:val="none" w:sz="0" w:space="0" w:color="auto"/>
                <w:left w:val="none" w:sz="0" w:space="0" w:color="auto"/>
                <w:bottom w:val="none" w:sz="0" w:space="0" w:color="auto"/>
                <w:right w:val="none" w:sz="0" w:space="0" w:color="auto"/>
              </w:divBdr>
              <w:divsChild>
                <w:div w:id="81880179">
                  <w:marLeft w:val="0"/>
                  <w:marRight w:val="0"/>
                  <w:marTop w:val="0"/>
                  <w:marBottom w:val="0"/>
                  <w:divBdr>
                    <w:top w:val="none" w:sz="0" w:space="0" w:color="auto"/>
                    <w:left w:val="none" w:sz="0" w:space="0" w:color="auto"/>
                    <w:bottom w:val="none" w:sz="0" w:space="0" w:color="auto"/>
                    <w:right w:val="none" w:sz="0" w:space="0" w:color="auto"/>
                  </w:divBdr>
                  <w:divsChild>
                    <w:div w:id="12651307">
                      <w:marLeft w:val="0"/>
                      <w:marRight w:val="0"/>
                      <w:marTop w:val="0"/>
                      <w:marBottom w:val="0"/>
                      <w:divBdr>
                        <w:top w:val="none" w:sz="0" w:space="0" w:color="auto"/>
                        <w:left w:val="none" w:sz="0" w:space="0" w:color="auto"/>
                        <w:bottom w:val="none" w:sz="0" w:space="0" w:color="auto"/>
                        <w:right w:val="none" w:sz="0" w:space="0" w:color="auto"/>
                      </w:divBdr>
                      <w:divsChild>
                        <w:div w:id="307369636">
                          <w:marLeft w:val="0"/>
                          <w:marRight w:val="0"/>
                          <w:marTop w:val="0"/>
                          <w:marBottom w:val="0"/>
                          <w:divBdr>
                            <w:top w:val="none" w:sz="0" w:space="0" w:color="auto"/>
                            <w:left w:val="none" w:sz="0" w:space="0" w:color="auto"/>
                            <w:bottom w:val="none" w:sz="0" w:space="0" w:color="auto"/>
                            <w:right w:val="none" w:sz="0" w:space="0" w:color="auto"/>
                          </w:divBdr>
                        </w:div>
                        <w:div w:id="848324842">
                          <w:marLeft w:val="0"/>
                          <w:marRight w:val="0"/>
                          <w:marTop w:val="0"/>
                          <w:marBottom w:val="0"/>
                          <w:divBdr>
                            <w:top w:val="none" w:sz="0" w:space="0" w:color="auto"/>
                            <w:left w:val="none" w:sz="0" w:space="0" w:color="auto"/>
                            <w:bottom w:val="none" w:sz="0" w:space="0" w:color="auto"/>
                            <w:right w:val="none" w:sz="0" w:space="0" w:color="auto"/>
                          </w:divBdr>
                          <w:divsChild>
                            <w:div w:id="1660617703">
                              <w:marLeft w:val="0"/>
                              <w:marRight w:val="300"/>
                              <w:marTop w:val="180"/>
                              <w:marBottom w:val="0"/>
                              <w:divBdr>
                                <w:top w:val="none" w:sz="0" w:space="0" w:color="auto"/>
                                <w:left w:val="none" w:sz="0" w:space="0" w:color="auto"/>
                                <w:bottom w:val="none" w:sz="0" w:space="0" w:color="auto"/>
                                <w:right w:val="none" w:sz="0" w:space="0" w:color="auto"/>
                              </w:divBdr>
                              <w:divsChild>
                                <w:div w:id="3653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40789">
          <w:marLeft w:val="0"/>
          <w:marRight w:val="0"/>
          <w:marTop w:val="0"/>
          <w:marBottom w:val="0"/>
          <w:divBdr>
            <w:top w:val="none" w:sz="0" w:space="0" w:color="auto"/>
            <w:left w:val="none" w:sz="0" w:space="0" w:color="auto"/>
            <w:bottom w:val="none" w:sz="0" w:space="0" w:color="auto"/>
            <w:right w:val="none" w:sz="0" w:space="0" w:color="auto"/>
          </w:divBdr>
          <w:divsChild>
            <w:div w:id="170337416">
              <w:marLeft w:val="0"/>
              <w:marRight w:val="0"/>
              <w:marTop w:val="0"/>
              <w:marBottom w:val="0"/>
              <w:divBdr>
                <w:top w:val="none" w:sz="0" w:space="0" w:color="auto"/>
                <w:left w:val="none" w:sz="0" w:space="0" w:color="auto"/>
                <w:bottom w:val="none" w:sz="0" w:space="0" w:color="auto"/>
                <w:right w:val="none" w:sz="0" w:space="0" w:color="auto"/>
              </w:divBdr>
              <w:divsChild>
                <w:div w:id="176232737">
                  <w:marLeft w:val="0"/>
                  <w:marRight w:val="0"/>
                  <w:marTop w:val="0"/>
                  <w:marBottom w:val="0"/>
                  <w:divBdr>
                    <w:top w:val="none" w:sz="0" w:space="0" w:color="auto"/>
                    <w:left w:val="none" w:sz="0" w:space="0" w:color="auto"/>
                    <w:bottom w:val="none" w:sz="0" w:space="0" w:color="auto"/>
                    <w:right w:val="none" w:sz="0" w:space="0" w:color="auto"/>
                  </w:divBdr>
                  <w:divsChild>
                    <w:div w:id="854153259">
                      <w:marLeft w:val="0"/>
                      <w:marRight w:val="0"/>
                      <w:marTop w:val="0"/>
                      <w:marBottom w:val="0"/>
                      <w:divBdr>
                        <w:top w:val="none" w:sz="0" w:space="0" w:color="auto"/>
                        <w:left w:val="none" w:sz="0" w:space="0" w:color="auto"/>
                        <w:bottom w:val="none" w:sz="0" w:space="0" w:color="auto"/>
                        <w:right w:val="none" w:sz="0" w:space="0" w:color="auto"/>
                      </w:divBdr>
                      <w:divsChild>
                        <w:div w:id="462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452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62820438">
      <w:bodyDiv w:val="1"/>
      <w:marLeft w:val="0"/>
      <w:marRight w:val="0"/>
      <w:marTop w:val="0"/>
      <w:marBottom w:val="0"/>
      <w:divBdr>
        <w:top w:val="none" w:sz="0" w:space="0" w:color="auto"/>
        <w:left w:val="none" w:sz="0" w:space="0" w:color="auto"/>
        <w:bottom w:val="none" w:sz="0" w:space="0" w:color="auto"/>
        <w:right w:val="none" w:sz="0" w:space="0" w:color="auto"/>
      </w:divBdr>
      <w:divsChild>
        <w:div w:id="1350522967">
          <w:marLeft w:val="619"/>
          <w:marRight w:val="0"/>
          <w:marTop w:val="158"/>
          <w:marBottom w:val="0"/>
          <w:divBdr>
            <w:top w:val="none" w:sz="0" w:space="0" w:color="auto"/>
            <w:left w:val="none" w:sz="0" w:space="0" w:color="auto"/>
            <w:bottom w:val="none" w:sz="0" w:space="0" w:color="auto"/>
            <w:right w:val="none" w:sz="0" w:space="0" w:color="auto"/>
          </w:divBdr>
        </w:div>
        <w:div w:id="1240170079">
          <w:marLeft w:val="1339"/>
          <w:marRight w:val="0"/>
          <w:marTop w:val="144"/>
          <w:marBottom w:val="0"/>
          <w:divBdr>
            <w:top w:val="none" w:sz="0" w:space="0" w:color="auto"/>
            <w:left w:val="none" w:sz="0" w:space="0" w:color="auto"/>
            <w:bottom w:val="none" w:sz="0" w:space="0" w:color="auto"/>
            <w:right w:val="none" w:sz="0" w:space="0" w:color="auto"/>
          </w:divBdr>
        </w:div>
        <w:div w:id="1268149988">
          <w:marLeft w:val="1339"/>
          <w:marRight w:val="0"/>
          <w:marTop w:val="144"/>
          <w:marBottom w:val="0"/>
          <w:divBdr>
            <w:top w:val="none" w:sz="0" w:space="0" w:color="auto"/>
            <w:left w:val="none" w:sz="0" w:space="0" w:color="auto"/>
            <w:bottom w:val="none" w:sz="0" w:space="0" w:color="auto"/>
            <w:right w:val="none" w:sz="0" w:space="0" w:color="auto"/>
          </w:divBdr>
        </w:div>
      </w:divsChild>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513489082">
      <w:bodyDiv w:val="1"/>
      <w:marLeft w:val="0"/>
      <w:marRight w:val="0"/>
      <w:marTop w:val="0"/>
      <w:marBottom w:val="0"/>
      <w:divBdr>
        <w:top w:val="none" w:sz="0" w:space="0" w:color="auto"/>
        <w:left w:val="none" w:sz="0" w:space="0" w:color="auto"/>
        <w:bottom w:val="none" w:sz="0" w:space="0" w:color="auto"/>
        <w:right w:val="none" w:sz="0" w:space="0" w:color="auto"/>
      </w:divBdr>
      <w:divsChild>
        <w:div w:id="111175639">
          <w:marLeft w:val="0"/>
          <w:marRight w:val="0"/>
          <w:marTop w:val="0"/>
          <w:marBottom w:val="0"/>
          <w:divBdr>
            <w:top w:val="none" w:sz="0" w:space="0" w:color="auto"/>
            <w:left w:val="none" w:sz="0" w:space="0" w:color="auto"/>
            <w:bottom w:val="none" w:sz="0" w:space="0" w:color="auto"/>
            <w:right w:val="none" w:sz="0" w:space="0" w:color="auto"/>
          </w:divBdr>
        </w:div>
      </w:divsChild>
    </w:div>
    <w:div w:id="1580364051">
      <w:bodyDiv w:val="1"/>
      <w:marLeft w:val="0"/>
      <w:marRight w:val="0"/>
      <w:marTop w:val="0"/>
      <w:marBottom w:val="0"/>
      <w:divBdr>
        <w:top w:val="none" w:sz="0" w:space="0" w:color="auto"/>
        <w:left w:val="none" w:sz="0" w:space="0" w:color="auto"/>
        <w:bottom w:val="none" w:sz="0" w:space="0" w:color="auto"/>
        <w:right w:val="none" w:sz="0" w:space="0" w:color="auto"/>
      </w:divBdr>
      <w:divsChild>
        <w:div w:id="183712955">
          <w:marLeft w:val="0"/>
          <w:marRight w:val="0"/>
          <w:marTop w:val="0"/>
          <w:marBottom w:val="0"/>
          <w:divBdr>
            <w:top w:val="none" w:sz="0" w:space="0" w:color="auto"/>
            <w:left w:val="none" w:sz="0" w:space="0" w:color="auto"/>
            <w:bottom w:val="none" w:sz="0" w:space="0" w:color="auto"/>
            <w:right w:val="none" w:sz="0" w:space="0" w:color="auto"/>
          </w:divBdr>
        </w:div>
      </w:divsChild>
    </w:div>
    <w:div w:id="1610116142">
      <w:bodyDiv w:val="1"/>
      <w:marLeft w:val="0"/>
      <w:marRight w:val="0"/>
      <w:marTop w:val="0"/>
      <w:marBottom w:val="0"/>
      <w:divBdr>
        <w:top w:val="none" w:sz="0" w:space="0" w:color="auto"/>
        <w:left w:val="none" w:sz="0" w:space="0" w:color="auto"/>
        <w:bottom w:val="none" w:sz="0" w:space="0" w:color="auto"/>
        <w:right w:val="none" w:sz="0" w:space="0" w:color="auto"/>
      </w:divBdr>
      <w:divsChild>
        <w:div w:id="1573083828">
          <w:marLeft w:val="0"/>
          <w:marRight w:val="0"/>
          <w:marTop w:val="0"/>
          <w:marBottom w:val="0"/>
          <w:divBdr>
            <w:top w:val="none" w:sz="0" w:space="0" w:color="auto"/>
            <w:left w:val="none" w:sz="0" w:space="0" w:color="auto"/>
            <w:bottom w:val="none" w:sz="0" w:space="0" w:color="auto"/>
            <w:right w:val="none" w:sz="0" w:space="0" w:color="auto"/>
          </w:divBdr>
        </w:div>
      </w:divsChild>
    </w:div>
    <w:div w:id="1901749856">
      <w:bodyDiv w:val="1"/>
      <w:marLeft w:val="0"/>
      <w:marRight w:val="0"/>
      <w:marTop w:val="0"/>
      <w:marBottom w:val="0"/>
      <w:divBdr>
        <w:top w:val="none" w:sz="0" w:space="0" w:color="auto"/>
        <w:left w:val="none" w:sz="0" w:space="0" w:color="auto"/>
        <w:bottom w:val="none" w:sz="0" w:space="0" w:color="auto"/>
        <w:right w:val="none" w:sz="0" w:space="0" w:color="auto"/>
      </w:divBdr>
    </w:div>
    <w:div w:id="211015318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EC9071-AA89-44EE-B439-0A9186CECB3F}"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da-DK"/>
        </a:p>
      </dgm:t>
    </dgm:pt>
    <dgm:pt modelId="{BCCEFD12-DD11-445F-B615-003BFFE8BABA}">
      <dgm:prSet phldrT="[Tekst]"/>
      <dgm:spPr/>
      <dgm:t>
        <a:bodyPr/>
        <a:lstStyle/>
        <a:p>
          <a:r>
            <a:rPr lang="da-DK"/>
            <a:t>Close to </a:t>
          </a:r>
          <a:br>
            <a:rPr lang="da-DK"/>
          </a:br>
          <a:r>
            <a:rPr lang="da-DK"/>
            <a:t>UN indicators</a:t>
          </a:r>
        </a:p>
      </dgm:t>
    </dgm:pt>
    <dgm:pt modelId="{C0EC32D3-4484-458B-A4B1-9E8B4F50A952}" type="parTrans" cxnId="{4B4D3C68-B991-4556-9A3D-1109A9C0836B}">
      <dgm:prSet/>
      <dgm:spPr/>
      <dgm:t>
        <a:bodyPr/>
        <a:lstStyle/>
        <a:p>
          <a:endParaRPr lang="da-DK"/>
        </a:p>
      </dgm:t>
    </dgm:pt>
    <dgm:pt modelId="{CF6B62AF-E088-483A-B08C-5BC5C913436C}" type="sibTrans" cxnId="{4B4D3C68-B991-4556-9A3D-1109A9C0836B}">
      <dgm:prSet/>
      <dgm:spPr/>
      <dgm:t>
        <a:bodyPr/>
        <a:lstStyle/>
        <a:p>
          <a:endParaRPr lang="da-DK"/>
        </a:p>
      </dgm:t>
    </dgm:pt>
    <dgm:pt modelId="{5ACBA60C-C43E-4BFB-8905-38E461B7DCA1}">
      <dgm:prSet phldrT="[Tekst]"/>
      <dgm:spPr/>
      <dgm:t>
        <a:bodyPr/>
        <a:lstStyle/>
        <a:p>
          <a:r>
            <a:rPr lang="da-DK"/>
            <a:t>Not close to </a:t>
          </a:r>
          <a:br>
            <a:rPr lang="da-DK"/>
          </a:br>
          <a:r>
            <a:rPr lang="da-DK"/>
            <a:t>UN indicators</a:t>
          </a:r>
        </a:p>
      </dgm:t>
    </dgm:pt>
    <dgm:pt modelId="{E90A3B23-59BA-439C-9E25-CB050B7320CC}" type="parTrans" cxnId="{1C167983-CFB4-4E06-93F9-5FBBD955664E}">
      <dgm:prSet/>
      <dgm:spPr/>
      <dgm:t>
        <a:bodyPr/>
        <a:lstStyle/>
        <a:p>
          <a:endParaRPr lang="da-DK"/>
        </a:p>
      </dgm:t>
    </dgm:pt>
    <dgm:pt modelId="{1C212A74-7442-49C7-9116-91739BBFF393}" type="sibTrans" cxnId="{1C167983-CFB4-4E06-93F9-5FBBD955664E}">
      <dgm:prSet/>
      <dgm:spPr/>
      <dgm:t>
        <a:bodyPr/>
        <a:lstStyle/>
        <a:p>
          <a:endParaRPr lang="da-DK"/>
        </a:p>
      </dgm:t>
    </dgm:pt>
    <dgm:pt modelId="{211279E2-95A8-4176-8845-8C494F6F5EA7}" type="pres">
      <dgm:prSet presAssocID="{23EC9071-AA89-44EE-B439-0A9186CECB3F}" presName="cycle" presStyleCnt="0">
        <dgm:presLayoutVars>
          <dgm:dir/>
          <dgm:resizeHandles val="exact"/>
        </dgm:presLayoutVars>
      </dgm:prSet>
      <dgm:spPr/>
    </dgm:pt>
    <dgm:pt modelId="{54298CBC-A55A-49F8-B003-FD5FE79DD062}" type="pres">
      <dgm:prSet presAssocID="{BCCEFD12-DD11-445F-B615-003BFFE8BABA}" presName="arrow" presStyleLbl="node1" presStyleIdx="0" presStyleCnt="2" custScaleX="59515">
        <dgm:presLayoutVars>
          <dgm:bulletEnabled val="1"/>
        </dgm:presLayoutVars>
      </dgm:prSet>
      <dgm:spPr/>
    </dgm:pt>
    <dgm:pt modelId="{58A65B68-4EC4-4E3A-984A-DEE40092DCF8}" type="pres">
      <dgm:prSet presAssocID="{5ACBA60C-C43E-4BFB-8905-38E461B7DCA1}" presName="arrow" presStyleLbl="node1" presStyleIdx="1" presStyleCnt="2" custScaleX="61986">
        <dgm:presLayoutVars>
          <dgm:bulletEnabled val="1"/>
        </dgm:presLayoutVars>
      </dgm:prSet>
      <dgm:spPr/>
    </dgm:pt>
  </dgm:ptLst>
  <dgm:cxnLst>
    <dgm:cxn modelId="{4B4D3C68-B991-4556-9A3D-1109A9C0836B}" srcId="{23EC9071-AA89-44EE-B439-0A9186CECB3F}" destId="{BCCEFD12-DD11-445F-B615-003BFFE8BABA}" srcOrd="0" destOrd="0" parTransId="{C0EC32D3-4484-458B-A4B1-9E8B4F50A952}" sibTransId="{CF6B62AF-E088-483A-B08C-5BC5C913436C}"/>
    <dgm:cxn modelId="{C0A24F4C-3822-4454-85F2-D855CB51B2C2}" type="presOf" srcId="{5ACBA60C-C43E-4BFB-8905-38E461B7DCA1}" destId="{58A65B68-4EC4-4E3A-984A-DEE40092DCF8}" srcOrd="0" destOrd="0" presId="urn:microsoft.com/office/officeart/2005/8/layout/arrow1"/>
    <dgm:cxn modelId="{1C167983-CFB4-4E06-93F9-5FBBD955664E}" srcId="{23EC9071-AA89-44EE-B439-0A9186CECB3F}" destId="{5ACBA60C-C43E-4BFB-8905-38E461B7DCA1}" srcOrd="1" destOrd="0" parTransId="{E90A3B23-59BA-439C-9E25-CB050B7320CC}" sibTransId="{1C212A74-7442-49C7-9116-91739BBFF393}"/>
    <dgm:cxn modelId="{AF5298B0-78DD-4394-989A-F9A68953FC22}" type="presOf" srcId="{BCCEFD12-DD11-445F-B615-003BFFE8BABA}" destId="{54298CBC-A55A-49F8-B003-FD5FE79DD062}" srcOrd="0" destOrd="0" presId="urn:microsoft.com/office/officeart/2005/8/layout/arrow1"/>
    <dgm:cxn modelId="{FE47A4E8-211B-484E-A2E7-4C875263A6DC}" type="presOf" srcId="{23EC9071-AA89-44EE-B439-0A9186CECB3F}" destId="{211279E2-95A8-4176-8845-8C494F6F5EA7}" srcOrd="0" destOrd="0" presId="urn:microsoft.com/office/officeart/2005/8/layout/arrow1"/>
    <dgm:cxn modelId="{73ECA1EA-44F1-4BDE-9C7E-2629AF384D3A}" type="presParOf" srcId="{211279E2-95A8-4176-8845-8C494F6F5EA7}" destId="{54298CBC-A55A-49F8-B003-FD5FE79DD062}" srcOrd="0" destOrd="0" presId="urn:microsoft.com/office/officeart/2005/8/layout/arrow1"/>
    <dgm:cxn modelId="{4BE26264-8D3F-416E-BAAD-FC805E23498E}" type="presParOf" srcId="{211279E2-95A8-4176-8845-8C494F6F5EA7}" destId="{58A65B68-4EC4-4E3A-984A-DEE40092DCF8}" srcOrd="1" destOrd="0" presId="urn:microsoft.com/office/officeart/2005/8/layout/arrow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298CBC-A55A-49F8-B003-FD5FE79DD062}">
      <dsp:nvSpPr>
        <dsp:cNvPr id="0" name=""/>
        <dsp:cNvSpPr/>
      </dsp:nvSpPr>
      <dsp:spPr>
        <a:xfrm rot="16200000">
          <a:off x="498687" y="103942"/>
          <a:ext cx="1511671" cy="2539984"/>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da-DK" sz="1700" kern="1200"/>
            <a:t>Close to </a:t>
          </a:r>
          <a:br>
            <a:rPr lang="da-DK" sz="1700" kern="1200"/>
          </a:br>
          <a:r>
            <a:rPr lang="da-DK" sz="1700" kern="1200"/>
            <a:t>UN indicators</a:t>
          </a:r>
        </a:p>
      </dsp:txBody>
      <dsp:txXfrm rot="5400000">
        <a:off x="249073" y="996016"/>
        <a:ext cx="2275442" cy="755835"/>
      </dsp:txXfrm>
    </dsp:sp>
    <dsp:sp modelId="{58A65B68-4EC4-4E3A-984A-DEE40092DCF8}">
      <dsp:nvSpPr>
        <dsp:cNvPr id="0" name=""/>
        <dsp:cNvSpPr/>
      </dsp:nvSpPr>
      <dsp:spPr>
        <a:xfrm rot="5400000">
          <a:off x="3262147" y="103942"/>
          <a:ext cx="1574434" cy="2539984"/>
        </a:xfrm>
        <a:prstGeom prst="up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da-DK" sz="1700" kern="1200"/>
            <a:t>Not close to </a:t>
          </a:r>
          <a:br>
            <a:rPr lang="da-DK" sz="1700" kern="1200"/>
          </a:br>
          <a:r>
            <a:rPr lang="da-DK" sz="1700" kern="1200"/>
            <a:t>UN indicators</a:t>
          </a:r>
        </a:p>
      </dsp:txBody>
      <dsp:txXfrm rot="-5400000">
        <a:off x="2779373" y="980326"/>
        <a:ext cx="2264458" cy="787217"/>
      </dsp:txXfrm>
    </dsp:sp>
  </dsp:spTree>
</dsp:drawing>
</file>

<file path=word/diagrams/layout1.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9080-67A2-4097-8E05-D1A7DF7E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3365</Words>
  <Characters>20531</Characters>
  <Application>Microsoft Office Word</Application>
  <DocSecurity>0</DocSecurity>
  <Lines>171</Lines>
  <Paragraphs>47</Paragraphs>
  <ScaleCrop>false</ScaleCrop>
  <HeadingPairs>
    <vt:vector size="10" baseType="variant">
      <vt:variant>
        <vt:lpstr>Titel</vt:lpstr>
      </vt:variant>
      <vt:variant>
        <vt:i4>1</vt:i4>
      </vt:variant>
      <vt:variant>
        <vt:lpstr>Rubrik</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5" baseType="lpstr">
      <vt:lpstr/>
      <vt:lpstr/>
      <vt:lpstr/>
      <vt:lpstr/>
      <vt:lpstr/>
    </vt:vector>
  </TitlesOfParts>
  <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Ulla Agerskov</cp:lastModifiedBy>
  <cp:revision>2</cp:revision>
  <cp:lastPrinted>2019-06-27T08:55:00Z</cp:lastPrinted>
  <dcterms:created xsi:type="dcterms:W3CDTF">2019-06-28T10:05:00Z</dcterms:created>
  <dcterms:modified xsi:type="dcterms:W3CDTF">2019-06-28T10:05:00Z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