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646BD" w14:textId="77777777" w:rsidR="00BA21C0" w:rsidRDefault="00BA21C0" w:rsidP="00BA21C0">
      <w:pPr>
        <w:pStyle w:val="Otsikko1"/>
        <w:jc w:val="left"/>
        <w:rPr>
          <w:lang w:val="en-US"/>
        </w:rPr>
      </w:pPr>
      <w:r>
        <w:rPr>
          <w:lang w:val="en-US"/>
        </w:rPr>
        <w:t>Surveys are like a box of chocolate – you never know what you’re going to get? Assessing the impact of a digital chocolate voucher on the Finnish ISSP2018 response rate and data quality</w:t>
      </w:r>
    </w:p>
    <w:p w14:paraId="21946B72" w14:textId="77777777" w:rsidR="00BA21C0" w:rsidRDefault="00BA21C0" w:rsidP="002A6A14">
      <w:pPr>
        <w:pStyle w:val="Kirjoittaja"/>
        <w:rPr>
          <w:lang w:val="sv-SE"/>
        </w:rPr>
      </w:pPr>
      <w:r w:rsidRPr="00BA21C0">
        <w:rPr>
          <w:lang w:val="sv-SE"/>
        </w:rPr>
        <w:t>Vesa Virtanen</w:t>
      </w:r>
      <w:r w:rsidR="000D705A" w:rsidRPr="00BA21C0">
        <w:rPr>
          <w:lang w:val="sv-SE"/>
        </w:rPr>
        <w:t xml:space="preserve">, </w:t>
      </w:r>
      <w:r w:rsidRPr="00BA21C0">
        <w:rPr>
          <w:lang w:val="sv-SE"/>
        </w:rPr>
        <w:t xml:space="preserve">Statistics Finland, </w:t>
      </w:r>
      <w:hyperlink r:id="rId8" w:history="1">
        <w:r w:rsidRPr="00BF1B59">
          <w:rPr>
            <w:rStyle w:val="Hyperlinkki"/>
            <w:lang w:val="sv-SE"/>
          </w:rPr>
          <w:t>vesa.virtanen@stat.fi</w:t>
        </w:r>
      </w:hyperlink>
    </w:p>
    <w:p w14:paraId="55EAC363" w14:textId="77777777" w:rsidR="006B1F86" w:rsidRPr="0082379F" w:rsidRDefault="00BA21C0" w:rsidP="002A6A14">
      <w:pPr>
        <w:pStyle w:val="Kirjoittaja"/>
      </w:pPr>
      <w:r w:rsidRPr="0082379F">
        <w:t>Juhani Saari</w:t>
      </w:r>
      <w:r w:rsidR="000D705A" w:rsidRPr="0082379F">
        <w:t xml:space="preserve">, </w:t>
      </w:r>
      <w:r w:rsidRPr="0082379F">
        <w:t>Statistics Finland</w:t>
      </w:r>
      <w:r w:rsidR="000D705A" w:rsidRPr="0082379F">
        <w:t xml:space="preserve">, </w:t>
      </w:r>
      <w:r w:rsidRPr="0082379F">
        <w:t>j</w:t>
      </w:r>
      <w:r w:rsidRPr="0082379F">
        <w:rPr>
          <w:rStyle w:val="Hyperlinkki"/>
        </w:rPr>
        <w:t>uhani.saari@stat.fi</w:t>
      </w:r>
      <w:r w:rsidR="003D0235" w:rsidRPr="0082379F">
        <w:t xml:space="preserve"> </w:t>
      </w:r>
    </w:p>
    <w:p w14:paraId="2A56980A" w14:textId="77777777" w:rsidR="000D705A" w:rsidRPr="00783854" w:rsidRDefault="000D705A" w:rsidP="002A6A14">
      <w:pPr>
        <w:pStyle w:val="Abstrakti"/>
        <w:rPr>
          <w:b/>
          <w:i w:val="0"/>
          <w:sz w:val="24"/>
          <w:szCs w:val="24"/>
          <w:lang w:val="en-US"/>
        </w:rPr>
      </w:pPr>
      <w:r w:rsidRPr="00783854">
        <w:rPr>
          <w:b/>
          <w:i w:val="0"/>
        </w:rPr>
        <w:t>Abstract</w:t>
      </w:r>
    </w:p>
    <w:p w14:paraId="571380C3" w14:textId="636931FF" w:rsidR="00BA21C0" w:rsidRPr="00430A27" w:rsidRDefault="00BA21C0" w:rsidP="00BA21C0">
      <w:pPr>
        <w:pStyle w:val="Abstrakti"/>
        <w:rPr>
          <w:lang w:val="en-US"/>
        </w:rPr>
      </w:pPr>
      <w:r w:rsidRPr="00430A27">
        <w:rPr>
          <w:lang w:val="en-US"/>
        </w:rPr>
        <w:t>Statistics Finland has been pursuing a series of experiments since 2017 for testing new incentives to increase response rates for household surveys. The aim has been to reduce the range of incentives and expenses, to develop digital and knowledge base incentives, increase web responses and reward early bird respondents. Following an unsatisfactory trial of a digital meal voucher targeted to less educated young respondents, Statistics Finland examined the effectiveness of a digital voucher for a bar of chocolate was trialed with the Finnish ISSP 2018 sample. The survey was conducted following a web-push strategy with the incentive designed to boost both early web response as well as to improve the overall response rate. The results indicate that motivating respondents with chocolate not only seems to increase response, but also seemed to benefit the overall sample composition in terms of nonresponse bias and to reduce the selectivity of respondents based on topic interest. At the same time the effectiveness was found conditional on some respondent characteristics such as living in the rural countryside as well as certain age groups. The effects of the incentive on data quality was further assessed by comparing survey estimates on religious community membership with external statistical data. The tentative evidence was found promising and Statistics Finland will conduct one or more follow-up experiments later in 2019</w:t>
      </w:r>
      <w:r w:rsidR="00B81ABC">
        <w:rPr>
          <w:lang w:val="en-US"/>
        </w:rPr>
        <w:t>–20</w:t>
      </w:r>
      <w:r w:rsidR="0082379F">
        <w:rPr>
          <w:lang w:val="en-US"/>
        </w:rPr>
        <w:t>20</w:t>
      </w:r>
      <w:r w:rsidRPr="00430A27">
        <w:rPr>
          <w:lang w:val="en-US"/>
        </w:rPr>
        <w:t xml:space="preserve">.  </w:t>
      </w:r>
    </w:p>
    <w:p w14:paraId="223F9D78" w14:textId="77777777" w:rsidR="00BA21C0" w:rsidRDefault="00BA21C0" w:rsidP="00BA21C0">
      <w:pPr>
        <w:rPr>
          <w:lang w:val="en-US"/>
        </w:rPr>
      </w:pPr>
      <w:r w:rsidRPr="00A61DC9">
        <w:rPr>
          <w:b/>
          <w:lang w:val="en-US"/>
        </w:rPr>
        <w:t>Keywords</w:t>
      </w:r>
      <w:r w:rsidRPr="00A61DC9">
        <w:rPr>
          <w:lang w:val="en-US"/>
        </w:rPr>
        <w:t>:</w:t>
      </w:r>
      <w:r>
        <w:rPr>
          <w:lang w:val="en-US"/>
        </w:rPr>
        <w:t xml:space="preserve"> digital incentive, nonresponse, web-push survey, external validation, experimental culture, logistic regression, r-indicator</w:t>
      </w:r>
    </w:p>
    <w:p w14:paraId="7D88DC42" w14:textId="77777777" w:rsidR="006B1F86" w:rsidRDefault="00BA21C0" w:rsidP="002A6A14">
      <w:pPr>
        <w:pStyle w:val="Otsikko2"/>
      </w:pPr>
      <w:r>
        <w:t>Introduction</w:t>
      </w:r>
    </w:p>
    <w:p w14:paraId="0676BDC0" w14:textId="77777777" w:rsidR="00BA21C0" w:rsidRPr="009D376C" w:rsidRDefault="00BA21C0" w:rsidP="00BA21C0">
      <w:pPr>
        <w:rPr>
          <w:lang w:val="en-US"/>
        </w:rPr>
      </w:pPr>
      <w:r w:rsidRPr="009D376C">
        <w:rPr>
          <w:lang w:val="en-US"/>
        </w:rPr>
        <w:t>Research on response rates to mail surveys have shown that incentives are a solid tool to increase response rates. The effects of incentives on data quality remain debated however with arguments being made for both positive and negative consequences. Incentives could persuade people with lower motivation in the survey topic to participate and their response could be of poorer quality (</w:t>
      </w:r>
      <w:proofErr w:type="spellStart"/>
      <w:r w:rsidRPr="009D376C">
        <w:rPr>
          <w:lang w:val="en-US"/>
        </w:rPr>
        <w:t>Teisl</w:t>
      </w:r>
      <w:proofErr w:type="spellEnd"/>
      <w:r w:rsidRPr="009D376C">
        <w:rPr>
          <w:lang w:val="en-US"/>
        </w:rPr>
        <w:t xml:space="preserve">, Roe &amp; </w:t>
      </w:r>
      <w:proofErr w:type="spellStart"/>
      <w:r w:rsidRPr="009D376C">
        <w:rPr>
          <w:lang w:val="en-US"/>
        </w:rPr>
        <w:t>Vayda</w:t>
      </w:r>
      <w:proofErr w:type="spellEnd"/>
      <w:r w:rsidRPr="009D376C">
        <w:rPr>
          <w:lang w:val="en-US"/>
        </w:rPr>
        <w:t xml:space="preserve"> </w:t>
      </w:r>
      <w:r w:rsidRPr="009D376C">
        <w:rPr>
          <w:lang w:val="en-US"/>
        </w:rPr>
        <w:lastRenderedPageBreak/>
        <w:t>2005). According to the leverage-salience theory of survey participation, noncooperation is especially problematic when the survey topic is associated with the respondent decision to participate. People who are more involved with the survey topic in question tend to respond at higher levels than others while at the same time are likely differ in the attributes on key survey variables from non-respondents that are less involved with the topic.</w:t>
      </w:r>
    </w:p>
    <w:p w14:paraId="145A2646" w14:textId="77777777" w:rsidR="00BA21C0" w:rsidRDefault="00BA21C0" w:rsidP="00BA21C0">
      <w:pPr>
        <w:rPr>
          <w:lang w:val="en-US"/>
        </w:rPr>
      </w:pPr>
      <w:r w:rsidRPr="009D376C">
        <w:rPr>
          <w:lang w:val="en-US"/>
        </w:rPr>
        <w:t xml:space="preserve">On the other hand, a number of other factors which are unassociated with the topic may also contribute significantly to respondent cooperation, such as the type of organization conducting the survey (government agencies and universities tend to fare better than commercial or NGOs). </w:t>
      </w:r>
      <w:proofErr w:type="gramStart"/>
      <w:r w:rsidRPr="009D376C">
        <w:rPr>
          <w:lang w:val="en-US"/>
        </w:rPr>
        <w:t>Thus</w:t>
      </w:r>
      <w:proofErr w:type="gramEnd"/>
      <w:r w:rsidRPr="009D376C">
        <w:rPr>
          <w:lang w:val="en-US"/>
        </w:rPr>
        <w:t xml:space="preserve"> it could be argued that incentives that are both effective in increasing response rates as well as unassociated with the survey topic would be most effective in reducing nonresponse error related to topic interest. (Groves et al. 2000 &amp; Groves et al. 2004) Findings from previous studies clearly have indicated that bias on estimates which are most associated with the survey topic tend to be more biased than other estimates (Groves, Presser and </w:t>
      </w:r>
      <w:proofErr w:type="spellStart"/>
      <w:r w:rsidRPr="009D376C">
        <w:rPr>
          <w:lang w:val="en-US"/>
        </w:rPr>
        <w:t>Dipko</w:t>
      </w:r>
      <w:proofErr w:type="spellEnd"/>
      <w:r w:rsidRPr="009D376C">
        <w:rPr>
          <w:lang w:val="en-US"/>
        </w:rPr>
        <w:t xml:space="preserve"> 2004).</w:t>
      </w:r>
    </w:p>
    <w:p w14:paraId="617B15C2" w14:textId="2E663006" w:rsidR="00BA21C0" w:rsidRPr="009D376C" w:rsidRDefault="00C0372D" w:rsidP="00BA21C0">
      <w:pPr>
        <w:rPr>
          <w:lang w:val="en-US"/>
        </w:rPr>
      </w:pPr>
      <w:r w:rsidRPr="00DD7691">
        <w:rPr>
          <w:lang w:val="en-US"/>
        </w:rPr>
        <w:t xml:space="preserve">Statistics Finland has been conducting the Finnish data collection of the International Social Survey (ISSP) </w:t>
      </w:r>
      <w:proofErr w:type="spellStart"/>
      <w:r w:rsidRPr="00DD7691">
        <w:rPr>
          <w:lang w:val="en-US"/>
        </w:rPr>
        <w:t>Programme</w:t>
      </w:r>
      <w:proofErr w:type="spellEnd"/>
      <w:r w:rsidRPr="00DD7691">
        <w:rPr>
          <w:lang w:val="en-US"/>
        </w:rPr>
        <w:t xml:space="preserve"> data collection since </w:t>
      </w:r>
      <w:commentRangeStart w:id="0"/>
      <w:r w:rsidRPr="00DD7691">
        <w:rPr>
          <w:lang w:val="en-US"/>
        </w:rPr>
        <w:t>200</w:t>
      </w:r>
      <w:r w:rsidR="009B7EA8">
        <w:rPr>
          <w:lang w:val="en-US"/>
        </w:rPr>
        <w:t>0</w:t>
      </w:r>
      <w:commentRangeEnd w:id="0"/>
      <w:r w:rsidR="0082379F" w:rsidRPr="00DD7691">
        <w:rPr>
          <w:rStyle w:val="Kommentinviite"/>
        </w:rPr>
        <w:commentReference w:id="0"/>
      </w:r>
      <w:r w:rsidRPr="00DD7691">
        <w:rPr>
          <w:lang w:val="en-US"/>
        </w:rPr>
        <w:t xml:space="preserve">. The ISSP is a cross-national </w:t>
      </w:r>
      <w:proofErr w:type="spellStart"/>
      <w:r w:rsidRPr="00DD7691">
        <w:rPr>
          <w:lang w:val="en-US"/>
        </w:rPr>
        <w:t>programme</w:t>
      </w:r>
      <w:proofErr w:type="spellEnd"/>
      <w:r w:rsidRPr="00DD7691">
        <w:rPr>
          <w:lang w:val="en-US"/>
        </w:rPr>
        <w:t xml:space="preserve"> of conducting annual surveys on topics relevant to social sciences. The 2018 ISSP survey</w:t>
      </w:r>
      <w:r w:rsidR="0082379F" w:rsidRPr="00DD7691">
        <w:rPr>
          <w:lang w:val="en-US"/>
        </w:rPr>
        <w:t xml:space="preserve"> focused on religion and attitudes towards religion. </w:t>
      </w:r>
      <w:r w:rsidRPr="00DD7691">
        <w:rPr>
          <w:lang w:val="en-US"/>
        </w:rPr>
        <w:t>Out of all the topics covered r</w:t>
      </w:r>
      <w:r w:rsidR="00BA21C0" w:rsidRPr="00DD7691">
        <w:rPr>
          <w:lang w:val="en-US"/>
        </w:rPr>
        <w:t xml:space="preserve">eligion </w:t>
      </w:r>
      <w:r w:rsidR="00BA21C0" w:rsidRPr="009D376C">
        <w:rPr>
          <w:lang w:val="en-US"/>
        </w:rPr>
        <w:t xml:space="preserve">is among </w:t>
      </w:r>
      <w:r>
        <w:rPr>
          <w:lang w:val="en-US"/>
        </w:rPr>
        <w:t>those which is</w:t>
      </w:r>
      <w:r w:rsidR="00BA21C0" w:rsidRPr="009D376C">
        <w:rPr>
          <w:lang w:val="en-US"/>
        </w:rPr>
        <w:t xml:space="preserve"> most avoided and felt uncomfortable to participate (Sherkat 2007)</w:t>
      </w:r>
      <w:r w:rsidR="000C5E77">
        <w:rPr>
          <w:lang w:val="en-US"/>
        </w:rPr>
        <w:t xml:space="preserve"> and </w:t>
      </w:r>
      <w:r w:rsidR="00BA21C0" w:rsidRPr="009D376C">
        <w:rPr>
          <w:lang w:val="en-US"/>
        </w:rPr>
        <w:t>is</w:t>
      </w:r>
      <w:r w:rsidR="000C5E77">
        <w:rPr>
          <w:lang w:val="en-US"/>
        </w:rPr>
        <w:t xml:space="preserve"> thus well</w:t>
      </w:r>
      <w:r w:rsidR="00BA21C0" w:rsidRPr="009D376C">
        <w:rPr>
          <w:lang w:val="en-US"/>
        </w:rPr>
        <w:t xml:space="preserve"> suited to examine the possibility to counter topic sensitivity bias via incentives. </w:t>
      </w:r>
      <w:r w:rsidR="000C5E77">
        <w:rPr>
          <w:lang w:val="en-US"/>
        </w:rPr>
        <w:t>This is because it can be argued that</w:t>
      </w:r>
      <w:r w:rsidR="00BA21C0" w:rsidRPr="009D376C">
        <w:rPr>
          <w:lang w:val="en-US"/>
        </w:rPr>
        <w:t xml:space="preserve"> </w:t>
      </w:r>
      <w:r w:rsidR="000C5E77">
        <w:rPr>
          <w:lang w:val="en-US"/>
        </w:rPr>
        <w:t>survey participants of the 2018 ISSP round</w:t>
      </w:r>
      <w:r w:rsidR="00BA21C0" w:rsidRPr="009D376C">
        <w:rPr>
          <w:lang w:val="en-US"/>
        </w:rPr>
        <w:t xml:space="preserve"> may be biased towards either the emphasis the respondent gives to religion, the lack thereof (atheists may also feel more motivated to participate a survey on religious values) or both (see Sherkat 2007). Either way there is reason to believe that this type of topic sensitivity will contribute to either the skewness or kurtosis of distributions of items assessing the overall religiousness of respondents: If topic sensitivity is present, either one or both tails should be overrepresented (as people less interested in religion are also less likely to participate). </w:t>
      </w:r>
    </w:p>
    <w:p w14:paraId="49FE9482" w14:textId="77777777" w:rsidR="00BA21C0" w:rsidRPr="009D376C" w:rsidRDefault="00BA21C0" w:rsidP="00BA21C0">
      <w:pPr>
        <w:rPr>
          <w:lang w:val="en-US"/>
        </w:rPr>
      </w:pPr>
      <w:r w:rsidRPr="009D376C">
        <w:rPr>
          <w:lang w:val="en-US"/>
        </w:rPr>
        <w:t xml:space="preserve">The second key component of the leverage-salience theory also suggests that people who are less influenced by other aspects of the survey such as the reputation of the survey organization, monetary incentives or the persuasion efforts of the interviewer. </w:t>
      </w:r>
    </w:p>
    <w:p w14:paraId="469421AF" w14:textId="77777777" w:rsidR="006B1F86" w:rsidRDefault="00BA21C0" w:rsidP="002A6A14">
      <w:pPr>
        <w:pStyle w:val="Otsikko2"/>
      </w:pPr>
      <w:r>
        <w:lastRenderedPageBreak/>
        <w:t>Administering the survey</w:t>
      </w:r>
    </w:p>
    <w:p w14:paraId="3BDD03FA" w14:textId="27CFFC7C" w:rsidR="00BA21C0" w:rsidRPr="009D376C" w:rsidRDefault="00BA21C0" w:rsidP="00BA21C0">
      <w:pPr>
        <w:rPr>
          <w:color w:val="0073B0"/>
          <w:lang w:val="en-US"/>
        </w:rPr>
      </w:pPr>
      <w:r w:rsidRPr="009D376C">
        <w:rPr>
          <w:lang w:val="en-US"/>
        </w:rPr>
        <w:t xml:space="preserve">The survey was administered as a web-push </w:t>
      </w:r>
      <w:r w:rsidRPr="00DD7691">
        <w:rPr>
          <w:lang w:val="en-US"/>
        </w:rPr>
        <w:t>survey</w:t>
      </w:r>
      <w:r w:rsidR="003F740E" w:rsidRPr="00DD7691">
        <w:rPr>
          <w:lang w:val="en-US"/>
        </w:rPr>
        <w:t xml:space="preserve"> in Finnish and Swedish</w:t>
      </w:r>
      <w:r w:rsidR="0082379F" w:rsidRPr="00DD7691">
        <w:rPr>
          <w:lang w:val="en-US"/>
        </w:rPr>
        <w:t xml:space="preserve"> (</w:t>
      </w:r>
      <w:r w:rsidR="00B44857" w:rsidRPr="00DD7691">
        <w:rPr>
          <w:lang w:val="en-US"/>
        </w:rPr>
        <w:t>5</w:t>
      </w:r>
      <w:r w:rsidR="0082379F" w:rsidRPr="00DD7691">
        <w:rPr>
          <w:lang w:val="en-US"/>
        </w:rPr>
        <w:t>,</w:t>
      </w:r>
      <w:r w:rsidR="006C11D5" w:rsidRPr="00DD7691">
        <w:rPr>
          <w:lang w:val="en-US"/>
        </w:rPr>
        <w:t>2</w:t>
      </w:r>
      <w:r w:rsidR="0082379F" w:rsidRPr="00DD7691">
        <w:rPr>
          <w:lang w:val="en-US"/>
        </w:rPr>
        <w:t xml:space="preserve"> % percent of the target population being native Swedish speakers)</w:t>
      </w:r>
      <w:r w:rsidRPr="00DD7691">
        <w:rPr>
          <w:lang w:val="en-US"/>
        </w:rPr>
        <w:t xml:space="preserve"> </w:t>
      </w:r>
      <w:r w:rsidRPr="009D376C">
        <w:rPr>
          <w:lang w:val="en-US"/>
        </w:rPr>
        <w:t>with an initial postal request to respond over the Internet to which the chocolate incentive was conditioned. A paper questionnaire was sent prat the 3</w:t>
      </w:r>
      <w:r w:rsidRPr="009D376C">
        <w:rPr>
          <w:vertAlign w:val="superscript"/>
          <w:lang w:val="en-US"/>
        </w:rPr>
        <w:t>rd</w:t>
      </w:r>
      <w:r w:rsidRPr="009D376C">
        <w:rPr>
          <w:lang w:val="en-US"/>
        </w:rPr>
        <w:t xml:space="preserve"> stage of mail contacts, after which no mention of the chocolate incentive was included. </w:t>
      </w:r>
      <w:proofErr w:type="gramStart"/>
      <w:r w:rsidRPr="009D376C">
        <w:rPr>
          <w:lang w:val="en-US"/>
        </w:rPr>
        <w:t>Thus</w:t>
      </w:r>
      <w:proofErr w:type="gramEnd"/>
      <w:r w:rsidRPr="009D376C">
        <w:rPr>
          <w:lang w:val="en-US"/>
        </w:rPr>
        <w:t xml:space="preserve"> only early bird web respondents in experiment group 1 and 2 got a bar of chocolate if they answered before given day (during 3 weeks). Web respondents received a text message code to their telephone and so they were able to pick up their bar of chocolate from the local kiosk service that practically covers all major municipalities. This does mean however that the trouble of picking up the reward varies especially in the rural areas, and we shall therefore also include in interaction term in the model to test, whether the incentive is less effective in non-urban areas.</w:t>
      </w:r>
    </w:p>
    <w:p w14:paraId="28EE59A6" w14:textId="77777777" w:rsidR="00BA21C0" w:rsidRPr="009D376C" w:rsidRDefault="00BA21C0" w:rsidP="00BA21C0">
      <w:pPr>
        <w:rPr>
          <w:lang w:val="en-US"/>
        </w:rPr>
      </w:pPr>
      <w:r w:rsidRPr="009D376C">
        <w:rPr>
          <w:lang w:val="en-US"/>
        </w:rPr>
        <w:t xml:space="preserve">The web-push survey which is followed by paper questionnaire results in a bipartition of the sample into PAPI and online respondents. Because the incentive was designed </w:t>
      </w:r>
      <w:proofErr w:type="gramStart"/>
      <w:r w:rsidRPr="009D376C">
        <w:rPr>
          <w:lang w:val="en-US"/>
        </w:rPr>
        <w:t>in order to</w:t>
      </w:r>
      <w:proofErr w:type="gramEnd"/>
      <w:r w:rsidRPr="009D376C">
        <w:rPr>
          <w:lang w:val="en-US"/>
        </w:rPr>
        <w:t xml:space="preserve"> boost online response, it may have also given rise to a particular mode effect with people otherwise less inclined to respond online doing so. This selectivity of the mode and its effects on the quality of survey estimates is however difficult to entangle.</w:t>
      </w:r>
    </w:p>
    <w:p w14:paraId="5AF20840" w14:textId="5976A3DF" w:rsidR="00BA21C0" w:rsidRPr="009D376C" w:rsidRDefault="00BA21C0" w:rsidP="00BA21C0">
      <w:pPr>
        <w:rPr>
          <w:lang w:val="en-US"/>
        </w:rPr>
      </w:pPr>
      <w:proofErr w:type="gramStart"/>
      <w:r w:rsidRPr="009D376C">
        <w:rPr>
          <w:lang w:val="en-US"/>
        </w:rPr>
        <w:t>In order to</w:t>
      </w:r>
      <w:proofErr w:type="gramEnd"/>
      <w:r w:rsidRPr="009D376C">
        <w:rPr>
          <w:lang w:val="en-US"/>
        </w:rPr>
        <w:t xml:space="preserve"> motivate response across different data collections, Statistics Finland follows a standard policy of including a lottery of fifty pieces digital gift voucher certificates worth 100</w:t>
      </w:r>
      <w:r w:rsidR="00DD7691">
        <w:rPr>
          <w:lang w:val="en-US"/>
        </w:rPr>
        <w:t xml:space="preserve"> </w:t>
      </w:r>
      <w:r w:rsidRPr="009D376C">
        <w:rPr>
          <w:lang w:val="en-US"/>
        </w:rPr>
        <w:t>€ each in all surveys, which is mentioned in every contact attempt with the wording “among all those responding to Statistics Finland surveys”, including sample units in the chocolate experiment group. What this means is that the experimental group is subject to one conditional lottery based plus the redeemable chocolate bar whereas the control group only receives the mention of the standard gift certificate lottery.</w:t>
      </w:r>
    </w:p>
    <w:p w14:paraId="12335C04" w14:textId="77777777" w:rsidR="006B1F86" w:rsidRDefault="00BA21C0" w:rsidP="002A6A14">
      <w:pPr>
        <w:pStyle w:val="Otsikko2"/>
      </w:pPr>
      <w:r>
        <w:t>Research design</w:t>
      </w:r>
    </w:p>
    <w:p w14:paraId="575DB3FC" w14:textId="77777777" w:rsidR="00BA21C0" w:rsidRDefault="00BA21C0" w:rsidP="00BA21C0">
      <w:pPr>
        <w:rPr>
          <w:lang w:val="en-US"/>
        </w:rPr>
      </w:pPr>
      <w:r w:rsidRPr="009D376C">
        <w:rPr>
          <w:lang w:val="en-US"/>
        </w:rPr>
        <w:t>The analysis procee</w:t>
      </w:r>
      <w:r>
        <w:rPr>
          <w:lang w:val="en-US"/>
        </w:rPr>
        <w:t>ds</w:t>
      </w:r>
      <w:r w:rsidRPr="009D376C">
        <w:rPr>
          <w:lang w:val="en-US"/>
        </w:rPr>
        <w:t xml:space="preserve"> in three steps. First, we </w:t>
      </w:r>
      <w:proofErr w:type="gramStart"/>
      <w:r w:rsidRPr="009D376C">
        <w:rPr>
          <w:lang w:val="en-US"/>
        </w:rPr>
        <w:t>take a look</w:t>
      </w:r>
      <w:proofErr w:type="gramEnd"/>
      <w:r w:rsidRPr="009D376C">
        <w:rPr>
          <w:lang w:val="en-US"/>
        </w:rPr>
        <w:t xml:space="preserve"> at the effect of the incentive on overall response rate in the experimental and control strata. Next</w:t>
      </w:r>
      <w:r>
        <w:rPr>
          <w:lang w:val="en-US"/>
        </w:rPr>
        <w:t xml:space="preserve"> in order to assess the effects of the incentive on cooperation and response mode</w:t>
      </w:r>
      <w:r w:rsidRPr="009D376C">
        <w:rPr>
          <w:lang w:val="en-US"/>
        </w:rPr>
        <w:t xml:space="preserve">, we estimate logistic regressions, using auxiliary data and level of contacting effort, predicting respondent cooperation with the survey request as well as web-response conditional on </w:t>
      </w:r>
      <w:r w:rsidRPr="009D376C">
        <w:rPr>
          <w:lang w:val="en-US"/>
        </w:rPr>
        <w:lastRenderedPageBreak/>
        <w:t>cooperation. The third step of the analyses examines data quality</w:t>
      </w:r>
      <w:r>
        <w:rPr>
          <w:lang w:val="en-US"/>
        </w:rPr>
        <w:t xml:space="preserve"> and the incentives effect on countering bias resulting from topic interest. We assess the quality of data</w:t>
      </w:r>
      <w:r w:rsidRPr="009D376C">
        <w:rPr>
          <w:lang w:val="en-US"/>
        </w:rPr>
        <w:t xml:space="preserve"> in </w:t>
      </w:r>
      <w:r>
        <w:rPr>
          <w:lang w:val="en-US"/>
        </w:rPr>
        <w:t>the two subgroups using benchmark external data on religious community membership as well as reported turnout in the 2015 parliamentary elections</w:t>
      </w:r>
      <w:r w:rsidRPr="009D376C">
        <w:rPr>
          <w:lang w:val="en-US"/>
        </w:rPr>
        <w:t xml:space="preserve">. </w:t>
      </w:r>
    </w:p>
    <w:p w14:paraId="40CE9CAB" w14:textId="77777777" w:rsidR="00BA21C0" w:rsidRPr="009D376C" w:rsidRDefault="00BA21C0" w:rsidP="00BA21C0">
      <w:pPr>
        <w:rPr>
          <w:lang w:val="en-US"/>
        </w:rPr>
      </w:pPr>
      <w:r w:rsidRPr="009D376C">
        <w:rPr>
          <w:lang w:val="en-US"/>
        </w:rPr>
        <w:t xml:space="preserve">A common procedure is to compare the distributions of certain key survey variables to known statistics that are available for the target population. Two such sources of religion data are available which the ISSP is also attempting to estimate: belonging to a religious congregation (SVT 2018) as well as </w:t>
      </w:r>
      <w:r>
        <w:rPr>
          <w:lang w:val="en-US"/>
        </w:rPr>
        <w:t>voter turnout in the 2015 national elections.</w:t>
      </w:r>
    </w:p>
    <w:p w14:paraId="515D28F5" w14:textId="77777777" w:rsidR="00BA21C0" w:rsidRPr="009D376C" w:rsidRDefault="00BA21C0" w:rsidP="00BA21C0">
      <w:pPr>
        <w:rPr>
          <w:lang w:val="en-US"/>
        </w:rPr>
      </w:pPr>
      <w:r>
        <w:rPr>
          <w:lang w:val="en-US"/>
        </w:rPr>
        <w:t>In order to increase the statistical power of the experiment</w:t>
      </w:r>
      <w:r w:rsidRPr="009D376C">
        <w:rPr>
          <w:lang w:val="en-US"/>
        </w:rPr>
        <w:t xml:space="preserve"> design, the ISSP primary sample of 2500 was supplemented by an additional sample of 700 the survey in order to increase the statistical power of the research design. This additional sample was to have been administered as a web-only survey with two letters (one invitational and second a reminder) with the primary sample receiving up to four letters. </w:t>
      </w:r>
    </w:p>
    <w:p w14:paraId="7DF91ADD" w14:textId="77777777" w:rsidR="006B1F86" w:rsidRDefault="00BA21C0" w:rsidP="002A6A14">
      <w:pPr>
        <w:pStyle w:val="Otsikko2"/>
      </w:pPr>
      <w:r>
        <w:t>Results</w:t>
      </w:r>
    </w:p>
    <w:p w14:paraId="588884A6" w14:textId="77777777" w:rsidR="00B33D62" w:rsidRPr="00B33D62" w:rsidRDefault="00B33D62" w:rsidP="00B33D62">
      <w:pPr>
        <w:pStyle w:val="Otsikko3"/>
      </w:pPr>
      <w:r>
        <w:t>Effects on the response rate and online response</w:t>
      </w:r>
    </w:p>
    <w:p w14:paraId="0855B198" w14:textId="1C972B8B" w:rsidR="00BA21C0" w:rsidRPr="009D376C" w:rsidRDefault="00BA21C0" w:rsidP="00BA21C0">
      <w:pPr>
        <w:rPr>
          <w:lang w:val="en-US"/>
        </w:rPr>
      </w:pPr>
      <w:r w:rsidRPr="009D376C">
        <w:rPr>
          <w:lang w:val="en-US"/>
        </w:rPr>
        <w:t xml:space="preserve">Table 1 illustrates the overall increase in the response rate as well as the increase in willingness to respond online in the initial phase of data collection. In both perspectives the overall effect of the incentive seems to </w:t>
      </w:r>
      <w:proofErr w:type="gramStart"/>
      <w:r w:rsidRPr="009D376C">
        <w:rPr>
          <w:lang w:val="en-US"/>
        </w:rPr>
        <w:t>achieved</w:t>
      </w:r>
      <w:proofErr w:type="gramEnd"/>
      <w:r w:rsidRPr="009D376C">
        <w:rPr>
          <w:lang w:val="en-US"/>
        </w:rPr>
        <w:t xml:space="preserve"> both </w:t>
      </w:r>
      <w:r w:rsidR="0057402F">
        <w:rPr>
          <w:lang w:val="en-US"/>
        </w:rPr>
        <w:t xml:space="preserve">the </w:t>
      </w:r>
      <w:r w:rsidRPr="009D376C">
        <w:rPr>
          <w:lang w:val="en-US"/>
        </w:rPr>
        <w:t>intended effects: The overall response rate was around 4,6 percent better in the experiment group while the proportion of early bird online response was also significantly higher.</w:t>
      </w:r>
    </w:p>
    <w:p w14:paraId="19175217" w14:textId="77777777" w:rsidR="00361F5E" w:rsidRPr="00DD7691" w:rsidRDefault="00BA21C0" w:rsidP="00BA21C0">
      <w:pPr>
        <w:rPr>
          <w:lang w:val="en-US"/>
        </w:rPr>
      </w:pPr>
      <w:r w:rsidRPr="00DD7691">
        <w:rPr>
          <w:lang w:val="en-US"/>
        </w:rPr>
        <w:t xml:space="preserve">In terms of data collection economics, </w:t>
      </w:r>
      <w:r w:rsidR="00572FDA" w:rsidRPr="00DD7691">
        <w:rPr>
          <w:lang w:val="en-US"/>
        </w:rPr>
        <w:t>the incentive and its administration ha</w:t>
      </w:r>
      <w:r w:rsidR="00FE0BB8" w:rsidRPr="00DD7691">
        <w:rPr>
          <w:lang w:val="en-US"/>
        </w:rPr>
        <w:t>d</w:t>
      </w:r>
      <w:r w:rsidR="00572FDA" w:rsidRPr="00DD7691">
        <w:rPr>
          <w:lang w:val="en-US"/>
        </w:rPr>
        <w:t xml:space="preserve"> both direct and indirect effects on the overall costs of the survey. </w:t>
      </w:r>
      <w:r w:rsidR="00F52FC2" w:rsidRPr="00DD7691">
        <w:rPr>
          <w:lang w:val="en-US"/>
        </w:rPr>
        <w:t xml:space="preserve">We first compared the costs related to mailing of paper questionnaires, return envelopes as well as manual coding of returned questionnaires. </w:t>
      </w:r>
      <w:r w:rsidR="004C52DF" w:rsidRPr="00DD7691">
        <w:rPr>
          <w:lang w:val="en-US"/>
        </w:rPr>
        <w:t xml:space="preserve">The increase in early stage web-response was able to yield savings on all of these: In the incentive sub-sample the average </w:t>
      </w:r>
      <w:r w:rsidR="006C11D5" w:rsidRPr="00DD7691">
        <w:rPr>
          <w:lang w:val="en-US"/>
        </w:rPr>
        <w:t>expenses</w:t>
      </w:r>
      <w:r w:rsidR="004C52DF" w:rsidRPr="00DD7691">
        <w:rPr>
          <w:lang w:val="en-US"/>
        </w:rPr>
        <w:t xml:space="preserve"> per sample unit were</w:t>
      </w:r>
      <w:r w:rsidR="006C11D5" w:rsidRPr="00DD7691">
        <w:rPr>
          <w:lang w:val="en-US"/>
        </w:rPr>
        <w:t xml:space="preserve"> around</w:t>
      </w:r>
      <w:r w:rsidR="004C52DF" w:rsidRPr="00DD7691">
        <w:rPr>
          <w:lang w:val="en-US"/>
        </w:rPr>
        <w:t xml:space="preserve"> </w:t>
      </w:r>
      <w:r w:rsidR="006C11D5" w:rsidRPr="00DD7691">
        <w:rPr>
          <w:lang w:val="en-US"/>
        </w:rPr>
        <w:t>0,30 € lower for postage and 0,15 € lower for manual coding due to the relative increase in web-response</w:t>
      </w:r>
      <w:r w:rsidR="004C52DF" w:rsidRPr="00DD7691">
        <w:rPr>
          <w:lang w:val="en-US"/>
        </w:rPr>
        <w:t xml:space="preserve">. This saving was somewhat offset by the costs related to </w:t>
      </w:r>
      <w:r w:rsidR="006C11D5" w:rsidRPr="00DD7691">
        <w:rPr>
          <w:lang w:val="en-US"/>
        </w:rPr>
        <w:t>general administ</w:t>
      </w:r>
      <w:r w:rsidR="00FE0BB8" w:rsidRPr="00DD7691">
        <w:rPr>
          <w:lang w:val="en-US"/>
        </w:rPr>
        <w:t>ration</w:t>
      </w:r>
      <w:r w:rsidR="006C11D5" w:rsidRPr="00DD7691">
        <w:rPr>
          <w:lang w:val="en-US"/>
        </w:rPr>
        <w:t xml:space="preserve"> of </w:t>
      </w:r>
      <w:r w:rsidR="004C52DF" w:rsidRPr="00DD7691">
        <w:rPr>
          <w:lang w:val="en-US"/>
        </w:rPr>
        <w:t xml:space="preserve">the incentive as well as the </w:t>
      </w:r>
      <w:r w:rsidR="00FE0BB8" w:rsidRPr="00DD7691">
        <w:rPr>
          <w:lang w:val="en-US"/>
        </w:rPr>
        <w:t xml:space="preserve">chocolate bars themselves increased the cost </w:t>
      </w:r>
      <w:r w:rsidR="004C52DF" w:rsidRPr="00DD7691">
        <w:rPr>
          <w:lang w:val="en-US"/>
        </w:rPr>
        <w:t>per sample unit by 1,54 €</w:t>
      </w:r>
      <w:r w:rsidR="00FE0BB8" w:rsidRPr="00DD7691">
        <w:rPr>
          <w:lang w:val="en-US"/>
        </w:rPr>
        <w:t>. Thus, the over</w:t>
      </w:r>
      <w:r w:rsidR="004C52DF" w:rsidRPr="00DD7691">
        <w:rPr>
          <w:lang w:val="en-US"/>
        </w:rPr>
        <w:t xml:space="preserve">all costs were around 1,10 € higher. </w:t>
      </w:r>
    </w:p>
    <w:p w14:paraId="19ED9FE6" w14:textId="48EE05C0" w:rsidR="00BA21C0" w:rsidRPr="00DD7691" w:rsidRDefault="004C52DF" w:rsidP="00BA21C0">
      <w:pPr>
        <w:rPr>
          <w:lang w:val="en-US"/>
        </w:rPr>
      </w:pPr>
      <w:r w:rsidRPr="00DD7691">
        <w:rPr>
          <w:lang w:val="en-US"/>
        </w:rPr>
        <w:lastRenderedPageBreak/>
        <w:t>However</w:t>
      </w:r>
      <w:r w:rsidR="00FE0BB8" w:rsidRPr="00DD7691">
        <w:rPr>
          <w:lang w:val="en-US"/>
        </w:rPr>
        <w:t>,</w:t>
      </w:r>
      <w:r w:rsidRPr="00DD7691">
        <w:rPr>
          <w:lang w:val="en-US"/>
        </w:rPr>
        <w:t xml:space="preserve"> since the overall response rate was higher (increasing the relative effectiveness of the initial survey request), it would make more sense to compare the average administration cost per net response.</w:t>
      </w:r>
      <w:r w:rsidR="00361F5E" w:rsidRPr="00DD7691">
        <w:rPr>
          <w:lang w:val="en-US"/>
        </w:rPr>
        <w:t xml:space="preserve"> Put this way on average, a single net respondent took around 0,92 € more financial effort with the incentive. Or put another way, a relative </w:t>
      </w:r>
      <w:r w:rsidR="00361F5E" w:rsidRPr="009D376C">
        <w:rPr>
          <w:lang w:val="en-US"/>
        </w:rPr>
        <w:t xml:space="preserve">increase of 1 percentage point in the net response rate was achieved with a little more than 0,20 euros increase in the per respondent </w:t>
      </w:r>
      <w:r w:rsidR="00361F5E" w:rsidRPr="00DD7691">
        <w:rPr>
          <w:lang w:val="en-US"/>
        </w:rPr>
        <w:t>expenditure.</w:t>
      </w:r>
      <w:r w:rsidRPr="00DD7691">
        <w:rPr>
          <w:lang w:val="en-US"/>
        </w:rPr>
        <w:t xml:space="preserve"> </w:t>
      </w:r>
      <w:r w:rsidR="00FE0BB8" w:rsidRPr="00DD7691">
        <w:rPr>
          <w:lang w:val="en-US"/>
        </w:rPr>
        <w:t xml:space="preserve">In addition, as we have shown this increase in motivation effort has also contributed to the overall quality of the net </w:t>
      </w:r>
      <w:r w:rsidR="00361F5E" w:rsidRPr="00DD7691">
        <w:rPr>
          <w:lang w:val="en-US"/>
        </w:rPr>
        <w:t>sample</w:t>
      </w:r>
      <w:r w:rsidR="00FE0BB8" w:rsidRPr="00DD7691">
        <w:rPr>
          <w:lang w:val="en-US"/>
        </w:rPr>
        <w:t xml:space="preserve">, the benefit of which cannot be directly quantified in financial terms. </w:t>
      </w:r>
    </w:p>
    <w:p w14:paraId="4C1BF3A6" w14:textId="77777777" w:rsidR="00BA21C0" w:rsidRPr="009D376C" w:rsidRDefault="00BA21C0" w:rsidP="00BA21C0">
      <w:pPr>
        <w:rPr>
          <w:lang w:val="en-US"/>
        </w:rPr>
      </w:pPr>
    </w:p>
    <w:p w14:paraId="675F10E0" w14:textId="77777777" w:rsidR="00BA21C0" w:rsidRDefault="00BA21C0">
      <w:pPr>
        <w:spacing w:before="0" w:after="160" w:line="259" w:lineRule="auto"/>
        <w:jc w:val="left"/>
        <w:rPr>
          <w:lang w:val="en-US"/>
        </w:rPr>
      </w:pPr>
      <w:r>
        <w:rPr>
          <w:lang w:val="en-US"/>
        </w:rPr>
        <w:br w:type="page"/>
      </w:r>
    </w:p>
    <w:p w14:paraId="45175EF4" w14:textId="38FC7BD5" w:rsidR="00BA21C0" w:rsidRPr="009D376C" w:rsidRDefault="00BA21C0" w:rsidP="00BA21C0">
      <w:pPr>
        <w:rPr>
          <w:lang w:val="en-US"/>
        </w:rPr>
      </w:pPr>
      <w:r w:rsidRPr="009D376C">
        <w:rPr>
          <w:lang w:val="en-US"/>
        </w:rPr>
        <w:lastRenderedPageBreak/>
        <w:t xml:space="preserve">Table 1. </w:t>
      </w:r>
      <w:r>
        <w:rPr>
          <w:lang w:val="en-US"/>
        </w:rPr>
        <w:t>R</w:t>
      </w:r>
      <w:r w:rsidRPr="009D376C">
        <w:rPr>
          <w:lang w:val="en-US"/>
        </w:rPr>
        <w:t>esponse rate in the experiment vs. control group</w:t>
      </w:r>
      <w:r w:rsidR="00361F5E">
        <w:rPr>
          <w:lang w:val="en-US"/>
        </w:rPr>
        <w:t xml:space="preserve"> as well as the costs related to administering the incentive per sample unit and as well as net response</w:t>
      </w:r>
    </w:p>
    <w:tbl>
      <w:tblPr>
        <w:tblStyle w:val="TaulukkoRuudukko"/>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2522"/>
        <w:gridCol w:w="2523"/>
      </w:tblGrid>
      <w:tr w:rsidR="00BA21C0" w:rsidRPr="009D376C" w14:paraId="653012AF" w14:textId="77777777" w:rsidTr="00B33D62">
        <w:trPr>
          <w:trHeight w:val="80"/>
        </w:trPr>
        <w:tc>
          <w:tcPr>
            <w:tcW w:w="3054" w:type="dxa"/>
            <w:tcBorders>
              <w:bottom w:val="single" w:sz="4" w:space="0" w:color="auto"/>
            </w:tcBorders>
          </w:tcPr>
          <w:p w14:paraId="2CA2A0F7" w14:textId="77777777" w:rsidR="00BA21C0" w:rsidRPr="009D376C" w:rsidRDefault="00BA21C0" w:rsidP="00BA21C0">
            <w:pPr>
              <w:rPr>
                <w:lang w:val="en-US"/>
              </w:rPr>
            </w:pPr>
          </w:p>
        </w:tc>
        <w:tc>
          <w:tcPr>
            <w:tcW w:w="2522" w:type="dxa"/>
            <w:tcBorders>
              <w:bottom w:val="single" w:sz="4" w:space="0" w:color="auto"/>
            </w:tcBorders>
          </w:tcPr>
          <w:p w14:paraId="7605F3E7" w14:textId="77777777" w:rsidR="00BA21C0" w:rsidRPr="009D376C" w:rsidRDefault="00B33D62" w:rsidP="00B33D62">
            <w:pPr>
              <w:jc w:val="center"/>
              <w:rPr>
                <w:b/>
                <w:lang w:val="en-US"/>
              </w:rPr>
            </w:pPr>
            <w:r>
              <w:rPr>
                <w:b/>
                <w:lang w:val="en-US"/>
              </w:rPr>
              <w:t>Control group</w:t>
            </w:r>
          </w:p>
        </w:tc>
        <w:tc>
          <w:tcPr>
            <w:tcW w:w="2523" w:type="dxa"/>
            <w:tcBorders>
              <w:bottom w:val="single" w:sz="4" w:space="0" w:color="auto"/>
            </w:tcBorders>
          </w:tcPr>
          <w:p w14:paraId="5D6ACC64" w14:textId="77777777" w:rsidR="00BA21C0" w:rsidRPr="009D376C" w:rsidRDefault="00B33D62" w:rsidP="00B33D62">
            <w:pPr>
              <w:jc w:val="center"/>
              <w:rPr>
                <w:b/>
                <w:lang w:val="en-US"/>
              </w:rPr>
            </w:pPr>
            <w:r>
              <w:rPr>
                <w:b/>
                <w:lang w:val="en-US"/>
              </w:rPr>
              <w:t>Incentive group</w:t>
            </w:r>
          </w:p>
        </w:tc>
      </w:tr>
      <w:tr w:rsidR="00BA21C0" w:rsidRPr="009D376C" w14:paraId="26757D56" w14:textId="77777777" w:rsidTr="00B33D62">
        <w:trPr>
          <w:trHeight w:val="260"/>
        </w:trPr>
        <w:tc>
          <w:tcPr>
            <w:tcW w:w="3054" w:type="dxa"/>
            <w:tcBorders>
              <w:top w:val="single" w:sz="4" w:space="0" w:color="auto"/>
            </w:tcBorders>
          </w:tcPr>
          <w:p w14:paraId="0049B52B" w14:textId="77777777" w:rsidR="00BA21C0" w:rsidRPr="009D376C" w:rsidRDefault="00BA21C0" w:rsidP="00BA21C0">
            <w:pPr>
              <w:rPr>
                <w:lang w:val="en-US"/>
              </w:rPr>
            </w:pPr>
            <w:r w:rsidRPr="009D376C">
              <w:rPr>
                <w:lang w:val="en-US"/>
              </w:rPr>
              <w:t>N</w:t>
            </w:r>
          </w:p>
        </w:tc>
        <w:tc>
          <w:tcPr>
            <w:tcW w:w="2522" w:type="dxa"/>
            <w:tcBorders>
              <w:top w:val="single" w:sz="4" w:space="0" w:color="auto"/>
            </w:tcBorders>
          </w:tcPr>
          <w:p w14:paraId="26B7F42F" w14:textId="77777777" w:rsidR="00BA21C0" w:rsidRPr="009D376C" w:rsidRDefault="00BA21C0" w:rsidP="00B33D62">
            <w:pPr>
              <w:jc w:val="center"/>
              <w:rPr>
                <w:lang w:val="en-US"/>
              </w:rPr>
            </w:pPr>
            <w:r w:rsidRPr="009D376C">
              <w:rPr>
                <w:lang w:val="en-US"/>
              </w:rPr>
              <w:t>1500</w:t>
            </w:r>
          </w:p>
        </w:tc>
        <w:tc>
          <w:tcPr>
            <w:tcW w:w="2523" w:type="dxa"/>
            <w:tcBorders>
              <w:top w:val="single" w:sz="4" w:space="0" w:color="auto"/>
            </w:tcBorders>
          </w:tcPr>
          <w:p w14:paraId="7A1F8670" w14:textId="77777777" w:rsidR="00BA21C0" w:rsidRPr="009D376C" w:rsidRDefault="00BA21C0" w:rsidP="00B33D62">
            <w:pPr>
              <w:jc w:val="center"/>
              <w:rPr>
                <w:lang w:val="en-US"/>
              </w:rPr>
            </w:pPr>
            <w:r w:rsidRPr="009D376C">
              <w:rPr>
                <w:lang w:val="en-US"/>
              </w:rPr>
              <w:t>1700</w:t>
            </w:r>
          </w:p>
        </w:tc>
      </w:tr>
      <w:tr w:rsidR="00BA21C0" w:rsidRPr="009D376C" w14:paraId="6CE871DA" w14:textId="77777777" w:rsidTr="00B33D62">
        <w:trPr>
          <w:trHeight w:val="260"/>
        </w:trPr>
        <w:tc>
          <w:tcPr>
            <w:tcW w:w="3054" w:type="dxa"/>
            <w:tcBorders>
              <w:bottom w:val="single" w:sz="4" w:space="0" w:color="auto"/>
            </w:tcBorders>
          </w:tcPr>
          <w:p w14:paraId="04560F75" w14:textId="77777777" w:rsidR="00BA21C0" w:rsidRPr="009D376C" w:rsidRDefault="00BA21C0" w:rsidP="00BA21C0">
            <w:pPr>
              <w:rPr>
                <w:lang w:val="en-US"/>
              </w:rPr>
            </w:pPr>
            <w:r w:rsidRPr="009D376C">
              <w:rPr>
                <w:lang w:val="en-US"/>
              </w:rPr>
              <w:t>Response rate*</w:t>
            </w:r>
          </w:p>
          <w:p w14:paraId="749BAC5B" w14:textId="77777777" w:rsidR="00BA21C0" w:rsidRPr="009D376C" w:rsidRDefault="00BA21C0" w:rsidP="00BA21C0">
            <w:pPr>
              <w:rPr>
                <w:lang w:val="en-US"/>
              </w:rPr>
            </w:pPr>
            <w:r w:rsidRPr="009D376C">
              <w:rPr>
                <w:lang w:val="en-US"/>
              </w:rPr>
              <w:t xml:space="preserve">(% </w:t>
            </w:r>
            <w:r w:rsidR="00B33D62">
              <w:rPr>
                <w:lang w:val="en-US"/>
              </w:rPr>
              <w:t xml:space="preserve">of which </w:t>
            </w:r>
            <w:r w:rsidRPr="009D376C">
              <w:rPr>
                <w:lang w:val="en-US"/>
              </w:rPr>
              <w:t>online)</w:t>
            </w:r>
          </w:p>
        </w:tc>
        <w:tc>
          <w:tcPr>
            <w:tcW w:w="2522" w:type="dxa"/>
            <w:tcBorders>
              <w:bottom w:val="single" w:sz="4" w:space="0" w:color="auto"/>
            </w:tcBorders>
          </w:tcPr>
          <w:p w14:paraId="13300963" w14:textId="77777777" w:rsidR="00BA21C0" w:rsidRPr="009D376C" w:rsidRDefault="00BA21C0" w:rsidP="00B33D62">
            <w:pPr>
              <w:jc w:val="center"/>
              <w:rPr>
                <w:lang w:val="en-US"/>
              </w:rPr>
            </w:pPr>
            <w:r w:rsidRPr="009D376C">
              <w:rPr>
                <w:lang w:val="en-US"/>
              </w:rPr>
              <w:t>35,0</w:t>
            </w:r>
          </w:p>
          <w:p w14:paraId="34E4C4DA" w14:textId="77777777" w:rsidR="00BA21C0" w:rsidRPr="009D376C" w:rsidRDefault="00BA21C0" w:rsidP="00B33D62">
            <w:pPr>
              <w:jc w:val="center"/>
              <w:rPr>
                <w:lang w:val="en-US"/>
              </w:rPr>
            </w:pPr>
            <w:r w:rsidRPr="009D376C">
              <w:rPr>
                <w:lang w:val="en-US"/>
              </w:rPr>
              <w:t>(67,7)</w:t>
            </w:r>
          </w:p>
        </w:tc>
        <w:tc>
          <w:tcPr>
            <w:tcW w:w="2523" w:type="dxa"/>
            <w:tcBorders>
              <w:bottom w:val="single" w:sz="4" w:space="0" w:color="auto"/>
            </w:tcBorders>
          </w:tcPr>
          <w:p w14:paraId="4760A747" w14:textId="77777777" w:rsidR="00BA21C0" w:rsidRPr="009D376C" w:rsidRDefault="00BA21C0" w:rsidP="00B33D62">
            <w:pPr>
              <w:jc w:val="center"/>
              <w:rPr>
                <w:lang w:val="en-US"/>
              </w:rPr>
            </w:pPr>
            <w:r w:rsidRPr="009D376C">
              <w:rPr>
                <w:lang w:val="en-US"/>
              </w:rPr>
              <w:t>39,6</w:t>
            </w:r>
          </w:p>
          <w:p w14:paraId="61FE1E97" w14:textId="77777777" w:rsidR="00BA21C0" w:rsidRPr="009D376C" w:rsidRDefault="00BA21C0" w:rsidP="00B33D62">
            <w:pPr>
              <w:jc w:val="center"/>
              <w:rPr>
                <w:lang w:val="en-US"/>
              </w:rPr>
            </w:pPr>
            <w:r w:rsidRPr="009D376C">
              <w:rPr>
                <w:lang w:val="en-US"/>
              </w:rPr>
              <w:t>(76,0)</w:t>
            </w:r>
          </w:p>
        </w:tc>
      </w:tr>
      <w:tr w:rsidR="00BA21C0" w:rsidRPr="009D376C" w14:paraId="0459EF6A" w14:textId="77777777" w:rsidTr="00B33D62">
        <w:trPr>
          <w:trHeight w:val="260"/>
        </w:trPr>
        <w:tc>
          <w:tcPr>
            <w:tcW w:w="3054" w:type="dxa"/>
            <w:tcBorders>
              <w:top w:val="single" w:sz="4" w:space="0" w:color="auto"/>
            </w:tcBorders>
          </w:tcPr>
          <w:p w14:paraId="2C64A0B9" w14:textId="77777777" w:rsidR="00BA21C0" w:rsidRPr="00B33D62" w:rsidRDefault="00BA21C0" w:rsidP="00BA21C0">
            <w:pPr>
              <w:rPr>
                <w:b/>
                <w:i/>
                <w:lang w:val="en-US"/>
              </w:rPr>
            </w:pPr>
            <w:r w:rsidRPr="00B33D62">
              <w:rPr>
                <w:b/>
                <w:i/>
                <w:lang w:val="en-US"/>
              </w:rPr>
              <w:t>Expenses</w:t>
            </w:r>
          </w:p>
        </w:tc>
        <w:tc>
          <w:tcPr>
            <w:tcW w:w="2522" w:type="dxa"/>
            <w:tcBorders>
              <w:top w:val="single" w:sz="4" w:space="0" w:color="auto"/>
            </w:tcBorders>
          </w:tcPr>
          <w:p w14:paraId="2B769BAC" w14:textId="77777777" w:rsidR="00BA21C0" w:rsidRPr="009D376C" w:rsidRDefault="00BA21C0" w:rsidP="00B33D62">
            <w:pPr>
              <w:jc w:val="center"/>
              <w:rPr>
                <w:lang w:val="en-US"/>
              </w:rPr>
            </w:pPr>
          </w:p>
        </w:tc>
        <w:tc>
          <w:tcPr>
            <w:tcW w:w="2523" w:type="dxa"/>
            <w:tcBorders>
              <w:top w:val="single" w:sz="4" w:space="0" w:color="auto"/>
            </w:tcBorders>
          </w:tcPr>
          <w:p w14:paraId="003ECD63" w14:textId="77777777" w:rsidR="00BA21C0" w:rsidRPr="009D376C" w:rsidRDefault="00BA21C0" w:rsidP="00B33D62">
            <w:pPr>
              <w:jc w:val="center"/>
              <w:rPr>
                <w:lang w:val="en-US"/>
              </w:rPr>
            </w:pPr>
          </w:p>
        </w:tc>
      </w:tr>
      <w:tr w:rsidR="00BA21C0" w:rsidRPr="009D376C" w14:paraId="0FF81D6E" w14:textId="77777777" w:rsidTr="00B33D62">
        <w:trPr>
          <w:trHeight w:val="260"/>
        </w:trPr>
        <w:tc>
          <w:tcPr>
            <w:tcW w:w="3054" w:type="dxa"/>
          </w:tcPr>
          <w:p w14:paraId="09425B94" w14:textId="77777777" w:rsidR="00BA21C0" w:rsidRPr="009D376C" w:rsidRDefault="00BA21C0" w:rsidP="00BA21C0">
            <w:pPr>
              <w:rPr>
                <w:lang w:val="en-US"/>
              </w:rPr>
            </w:pPr>
            <w:r w:rsidRPr="009D376C">
              <w:rPr>
                <w:lang w:val="en-US"/>
              </w:rPr>
              <w:t>Per respondent</w:t>
            </w:r>
          </w:p>
        </w:tc>
        <w:tc>
          <w:tcPr>
            <w:tcW w:w="2522" w:type="dxa"/>
          </w:tcPr>
          <w:p w14:paraId="51BFE2BD" w14:textId="5F9F513B" w:rsidR="00BA21C0" w:rsidRPr="009D376C" w:rsidRDefault="00361F5E" w:rsidP="00B33D62">
            <w:pPr>
              <w:jc w:val="center"/>
              <w:rPr>
                <w:lang w:val="en-US"/>
              </w:rPr>
            </w:pPr>
            <w:r>
              <w:rPr>
                <w:lang w:val="en-US"/>
              </w:rPr>
              <w:t>-</w:t>
            </w:r>
          </w:p>
        </w:tc>
        <w:tc>
          <w:tcPr>
            <w:tcW w:w="2523" w:type="dxa"/>
          </w:tcPr>
          <w:p w14:paraId="496A597E" w14:textId="18D7FA4B" w:rsidR="00BA21C0" w:rsidRPr="009D376C" w:rsidRDefault="00361F5E" w:rsidP="00B33D62">
            <w:pPr>
              <w:jc w:val="center"/>
              <w:rPr>
                <w:lang w:val="en-US"/>
              </w:rPr>
            </w:pPr>
            <w:r>
              <w:rPr>
                <w:lang w:val="en-US"/>
              </w:rPr>
              <w:t>+0,92 €</w:t>
            </w:r>
          </w:p>
        </w:tc>
      </w:tr>
      <w:tr w:rsidR="00BA21C0" w:rsidRPr="009D376C" w14:paraId="0018E5FA" w14:textId="77777777" w:rsidTr="00B33D62">
        <w:trPr>
          <w:trHeight w:val="260"/>
        </w:trPr>
        <w:tc>
          <w:tcPr>
            <w:tcW w:w="3054" w:type="dxa"/>
            <w:tcBorders>
              <w:bottom w:val="single" w:sz="4" w:space="0" w:color="auto"/>
            </w:tcBorders>
          </w:tcPr>
          <w:p w14:paraId="3C8DB298" w14:textId="77777777" w:rsidR="00BA21C0" w:rsidRPr="009D376C" w:rsidRDefault="00BA21C0" w:rsidP="00BA21C0">
            <w:pPr>
              <w:rPr>
                <w:lang w:val="en-US"/>
              </w:rPr>
            </w:pPr>
            <w:r w:rsidRPr="009D376C">
              <w:rPr>
                <w:lang w:val="en-US"/>
              </w:rPr>
              <w:t>Per sample unit</w:t>
            </w:r>
          </w:p>
        </w:tc>
        <w:tc>
          <w:tcPr>
            <w:tcW w:w="2522" w:type="dxa"/>
            <w:tcBorders>
              <w:bottom w:val="single" w:sz="4" w:space="0" w:color="auto"/>
            </w:tcBorders>
          </w:tcPr>
          <w:p w14:paraId="23093C73" w14:textId="7DFC2430" w:rsidR="00BA21C0" w:rsidRPr="009D376C" w:rsidRDefault="00361F5E" w:rsidP="00B33D62">
            <w:pPr>
              <w:jc w:val="center"/>
              <w:rPr>
                <w:lang w:val="en-US"/>
              </w:rPr>
            </w:pPr>
            <w:r>
              <w:rPr>
                <w:lang w:val="en-US"/>
              </w:rPr>
              <w:t>-</w:t>
            </w:r>
          </w:p>
        </w:tc>
        <w:tc>
          <w:tcPr>
            <w:tcW w:w="2523" w:type="dxa"/>
            <w:tcBorders>
              <w:bottom w:val="single" w:sz="4" w:space="0" w:color="auto"/>
            </w:tcBorders>
          </w:tcPr>
          <w:p w14:paraId="3460C957" w14:textId="1A27E20E" w:rsidR="00BA21C0" w:rsidRPr="009D376C" w:rsidRDefault="00361F5E" w:rsidP="00B33D62">
            <w:pPr>
              <w:jc w:val="center"/>
              <w:rPr>
                <w:lang w:val="en-US"/>
              </w:rPr>
            </w:pPr>
            <w:r>
              <w:rPr>
                <w:lang w:val="en-US"/>
              </w:rPr>
              <w:t>+1,10 €</w:t>
            </w:r>
          </w:p>
        </w:tc>
      </w:tr>
    </w:tbl>
    <w:p w14:paraId="563B535A" w14:textId="77777777" w:rsidR="00BA21C0" w:rsidRPr="009D376C" w:rsidRDefault="00BA21C0" w:rsidP="00BA21C0">
      <w:pPr>
        <w:rPr>
          <w:lang w:val="en-US"/>
        </w:rPr>
      </w:pPr>
      <w:r w:rsidRPr="009D376C">
        <w:rPr>
          <w:lang w:val="en-US"/>
        </w:rPr>
        <w:t xml:space="preserve">Note: Increase in response rate found significant in the response propensity model presented in Table </w:t>
      </w:r>
      <w:r>
        <w:rPr>
          <w:lang w:val="en-US"/>
        </w:rPr>
        <w:t>2</w:t>
      </w:r>
      <w:r w:rsidRPr="009D376C">
        <w:rPr>
          <w:lang w:val="en-US"/>
        </w:rPr>
        <w:t>.</w:t>
      </w:r>
    </w:p>
    <w:p w14:paraId="3CF991FE" w14:textId="4049132B" w:rsidR="00BA21C0" w:rsidRPr="009D376C" w:rsidRDefault="0057402F" w:rsidP="0057402F">
      <w:pPr>
        <w:pStyle w:val="Otsikko3"/>
        <w:rPr>
          <w:lang w:val="en-US"/>
        </w:rPr>
      </w:pPr>
      <w:r>
        <w:rPr>
          <w:lang w:val="en-US"/>
        </w:rPr>
        <w:t>Nonresponse model</w:t>
      </w:r>
    </w:p>
    <w:p w14:paraId="4D628CC6" w14:textId="77777777" w:rsidR="00BA21C0" w:rsidRPr="009D376C" w:rsidRDefault="00BA21C0" w:rsidP="00BA21C0">
      <w:pPr>
        <w:rPr>
          <w:lang w:val="en-US"/>
        </w:rPr>
      </w:pPr>
      <w:proofErr w:type="gramStart"/>
      <w:r w:rsidRPr="009D376C">
        <w:rPr>
          <w:lang w:val="en-US"/>
        </w:rPr>
        <w:t>In order to</w:t>
      </w:r>
      <w:proofErr w:type="gramEnd"/>
      <w:r w:rsidRPr="009D376C">
        <w:rPr>
          <w:lang w:val="en-US"/>
        </w:rPr>
        <w:t xml:space="preserve"> disentangle the independent as well as possible conditional effects of our incentive on both overall response and willingness to respond online, we estimate two multivariate models which include both contacting effort variables as well as respondent characteristics. The dependent variable in the first Model 1 signifies overall cooperation, whether the sampled case completed the survey in either web or postal mode. The second model predicts completing the survey online conditioned on cooperation. The third and final model predicts the outcome of having redeemed the chocolate bar for those who were included in the experimental group and responded online during the first two months of data collection.</w:t>
      </w:r>
    </w:p>
    <w:p w14:paraId="58BF570E" w14:textId="77777777" w:rsidR="00BA21C0" w:rsidRPr="009D376C" w:rsidRDefault="00BA21C0" w:rsidP="00BA21C0">
      <w:pPr>
        <w:rPr>
          <w:lang w:val="en-US"/>
        </w:rPr>
      </w:pPr>
      <w:r w:rsidRPr="009D376C">
        <w:rPr>
          <w:lang w:val="en-US"/>
        </w:rPr>
        <w:t xml:space="preserve">The effort variable equals the number of questionnaires that were administered in each of the strata and varies between 2 and 4. The major difference between primary and supplementary sample strata was, that the initial letters sent to those allocated in the supplementary ones was that there was no indication of a further questionnaire being sent via conventional mail. However, during the final stage of data collection, a decision was made to send one additional questionnaire via post to Experiment group 2 because it was deemed possible to increase the overall response rate and to enhance the sample size of the primary sample by merging </w:t>
      </w:r>
      <w:proofErr w:type="gramStart"/>
      <w:r w:rsidRPr="009D376C">
        <w:rPr>
          <w:lang w:val="en-US"/>
        </w:rPr>
        <w:t>this supplementary strata</w:t>
      </w:r>
      <w:proofErr w:type="gramEnd"/>
      <w:r w:rsidRPr="009D376C">
        <w:rPr>
          <w:lang w:val="en-US"/>
        </w:rPr>
        <w:t xml:space="preserve"> with the primary sample. Because of this we also run all the statistical models again in such a </w:t>
      </w:r>
      <w:r w:rsidRPr="009D376C">
        <w:rPr>
          <w:lang w:val="en-US"/>
        </w:rPr>
        <w:lastRenderedPageBreak/>
        <w:t xml:space="preserve">way that we ignore the small number of postal </w:t>
      </w:r>
      <w:proofErr w:type="gramStart"/>
      <w:r w:rsidRPr="009D376C">
        <w:rPr>
          <w:lang w:val="en-US"/>
        </w:rPr>
        <w:t>response</w:t>
      </w:r>
      <w:proofErr w:type="gramEnd"/>
      <w:r w:rsidRPr="009D376C">
        <w:rPr>
          <w:lang w:val="en-US"/>
        </w:rPr>
        <w:t xml:space="preserve"> in Group 4 which were received after this additional effort, but no significant changes in our parameter estimates was observed. </w:t>
      </w:r>
    </w:p>
    <w:p w14:paraId="3F7B86BB" w14:textId="77777777" w:rsidR="00BA21C0" w:rsidRPr="009D376C" w:rsidRDefault="00BA21C0" w:rsidP="00BA21C0">
      <w:pPr>
        <w:rPr>
          <w:lang w:val="en-US"/>
        </w:rPr>
      </w:pPr>
      <w:r w:rsidRPr="009D376C">
        <w:rPr>
          <w:lang w:val="en-US"/>
        </w:rPr>
        <w:t>The first two models include three measures of effort, including whether or not the respondent was included in the incentive or control group. These include the number and type of mail questionnaires as well as the initial wordings of the advance letter (whether or not the respondent could be expecting a paper questionnaire following the initial web-push invitation). The predictor “supplementary sample” thus signifies that only one paper questionnaire was sent at a later stage of data collection.</w:t>
      </w:r>
    </w:p>
    <w:p w14:paraId="00EC9B30" w14:textId="77777777" w:rsidR="00BA21C0" w:rsidRDefault="00BA21C0" w:rsidP="00BA21C0">
      <w:pPr>
        <w:rPr>
          <w:lang w:val="en-US"/>
        </w:rPr>
      </w:pPr>
      <w:r w:rsidRPr="009D376C">
        <w:rPr>
          <w:lang w:val="en-US"/>
        </w:rPr>
        <w:t xml:space="preserve">In addition to the conventional postal reminders, we were also able to send out one additional reminder targeting respondents from whom a valid e-mail address was available (this was the case for a total of 41.9 percent of our sample). The availability of an e-mail address was strongly associated with respondent age, education, gender as well as type of municipality. Sample units residing in urban areas are more likely to have a </w:t>
      </w:r>
      <w:r>
        <w:rPr>
          <w:lang w:val="en-US"/>
        </w:rPr>
        <w:t>valid e-mail.</w:t>
      </w:r>
    </w:p>
    <w:p w14:paraId="100A3F75" w14:textId="77777777" w:rsidR="00BA21C0" w:rsidRPr="009D376C" w:rsidRDefault="00BA21C0" w:rsidP="00BA21C0">
      <w:pPr>
        <w:rPr>
          <w:lang w:val="en-US"/>
        </w:rPr>
      </w:pPr>
      <w:r w:rsidRPr="009D376C">
        <w:rPr>
          <w:lang w:val="en-US"/>
        </w:rPr>
        <w:t xml:space="preserve">In addition to the 4 rounds of postal reminders, an additional e-mail reminder was administered to every sample unit from which we were able to obtain a valid e-mail address from Statistics Finland population census database. The availability of a valid e-mail address is somewhat associated with respondent age, type of municipality as well as education (more educated younger people in cities had better coverage than did less educated older people). The incentive was mentioned in the e-mail request which was sent a week after the initial survey request letter in the incentive group whereas the standard lottery of gift certificates was mentioned in the control group e-mail. </w:t>
      </w:r>
    </w:p>
    <w:p w14:paraId="743115C3" w14:textId="77777777" w:rsidR="00BA21C0" w:rsidRPr="009D376C" w:rsidRDefault="00BA21C0" w:rsidP="00BA21C0">
      <w:pPr>
        <w:rPr>
          <w:lang w:val="en-US"/>
        </w:rPr>
      </w:pPr>
      <w:r w:rsidRPr="009D376C">
        <w:rPr>
          <w:lang w:val="en-US"/>
        </w:rPr>
        <w:t>Table 2 presents the results of three response propensity models — an overall response model, a web response model conditional on response and an incentive model conditional on valid web-response. These models include frame variables which were used in weighting the data. These include ISCED 2011 education, gender, age, language and type of municipality. The use of the response incentive was found to predict both response as well as choosing web over paper questionnaire. The availability of a valid e-mail address yielded similar results, although was found not to be significantly associated with redeeming the chocolate bar even though clearly contributing to the overall response rate online.</w:t>
      </w:r>
    </w:p>
    <w:p w14:paraId="1A1CD044" w14:textId="77B73F6F" w:rsidR="00BA21C0" w:rsidRDefault="00BA21C0" w:rsidP="00BA21C0">
      <w:pPr>
        <w:rPr>
          <w:lang w:val="en-US"/>
        </w:rPr>
      </w:pPr>
    </w:p>
    <w:p w14:paraId="5E6E8AA8" w14:textId="77777777" w:rsidR="00BA21C0" w:rsidRPr="009D376C" w:rsidRDefault="00BA21C0" w:rsidP="00BA21C0">
      <w:pPr>
        <w:rPr>
          <w:lang w:val="en-US"/>
        </w:rPr>
      </w:pPr>
    </w:p>
    <w:p w14:paraId="51CA3396" w14:textId="77777777" w:rsidR="00BA21C0" w:rsidRDefault="00BA21C0" w:rsidP="00BA21C0">
      <w:pPr>
        <w:rPr>
          <w:lang w:val="en-US"/>
        </w:rPr>
      </w:pPr>
      <w:r w:rsidRPr="009D376C">
        <w:rPr>
          <w:lang w:val="en-US"/>
        </w:rPr>
        <w:t>Table 2. Response propensity models for Cooperation and Online response</w:t>
      </w:r>
    </w:p>
    <w:tbl>
      <w:tblPr>
        <w:tblW w:w="10037" w:type="dxa"/>
        <w:tblLayout w:type="fixed"/>
        <w:tblCellMar>
          <w:left w:w="70" w:type="dxa"/>
          <w:right w:w="70" w:type="dxa"/>
        </w:tblCellMar>
        <w:tblLook w:val="04A0" w:firstRow="1" w:lastRow="0" w:firstColumn="1" w:lastColumn="0" w:noHBand="0" w:noVBand="1"/>
      </w:tblPr>
      <w:tblGrid>
        <w:gridCol w:w="1802"/>
        <w:gridCol w:w="914"/>
        <w:gridCol w:w="914"/>
        <w:gridCol w:w="915"/>
        <w:gridCol w:w="27"/>
        <w:gridCol w:w="887"/>
        <w:gridCol w:w="915"/>
        <w:gridCol w:w="888"/>
        <w:gridCol w:w="26"/>
        <w:gridCol w:w="915"/>
        <w:gridCol w:w="914"/>
        <w:gridCol w:w="920"/>
      </w:tblGrid>
      <w:tr w:rsidR="00B33D62" w:rsidRPr="009D376C" w14:paraId="6338EF13" w14:textId="77777777" w:rsidTr="00B33D62">
        <w:trPr>
          <w:trHeight w:val="258"/>
        </w:trPr>
        <w:tc>
          <w:tcPr>
            <w:tcW w:w="1802" w:type="dxa"/>
            <w:tcBorders>
              <w:top w:val="single" w:sz="4" w:space="0" w:color="auto"/>
              <w:left w:val="nil"/>
              <w:bottom w:val="nil"/>
              <w:right w:val="nil"/>
            </w:tcBorders>
            <w:shd w:val="clear" w:color="auto" w:fill="auto"/>
            <w:noWrap/>
            <w:hideMark/>
          </w:tcPr>
          <w:p w14:paraId="5529D230" w14:textId="77777777" w:rsidR="00B33D62" w:rsidRPr="009D376C" w:rsidRDefault="00B33D62" w:rsidP="0019543A">
            <w:pPr>
              <w:spacing w:line="240" w:lineRule="auto"/>
              <w:rPr>
                <w:rFonts w:asciiTheme="majorHAnsi" w:eastAsia="Times New Roman" w:hAnsiTheme="majorHAnsi" w:cstheme="majorHAnsi"/>
                <w:sz w:val="20"/>
                <w:szCs w:val="20"/>
                <w:lang w:val="en-US" w:eastAsia="fi-FI"/>
              </w:rPr>
            </w:pPr>
          </w:p>
        </w:tc>
        <w:tc>
          <w:tcPr>
            <w:tcW w:w="2770" w:type="dxa"/>
            <w:gridSpan w:val="4"/>
            <w:tcBorders>
              <w:top w:val="single" w:sz="4" w:space="0" w:color="auto"/>
              <w:left w:val="nil"/>
              <w:bottom w:val="nil"/>
              <w:right w:val="nil"/>
            </w:tcBorders>
            <w:shd w:val="clear" w:color="auto" w:fill="auto"/>
            <w:noWrap/>
            <w:hideMark/>
          </w:tcPr>
          <w:p w14:paraId="40716D54"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b/>
                <w:color w:val="000000"/>
                <w:sz w:val="20"/>
                <w:szCs w:val="20"/>
                <w:lang w:eastAsia="fi-FI"/>
              </w:rPr>
              <w:t>Model 1:</w:t>
            </w:r>
            <w:r w:rsidRPr="009D376C">
              <w:rPr>
                <w:rFonts w:asciiTheme="majorHAnsi" w:eastAsia="Times New Roman" w:hAnsiTheme="majorHAnsi" w:cstheme="majorHAnsi"/>
                <w:color w:val="000000"/>
                <w:sz w:val="20"/>
                <w:szCs w:val="20"/>
                <w:lang w:eastAsia="fi-FI"/>
              </w:rPr>
              <w:t xml:space="preserve"> Response</w:t>
            </w:r>
          </w:p>
        </w:tc>
        <w:tc>
          <w:tcPr>
            <w:tcW w:w="2690" w:type="dxa"/>
            <w:gridSpan w:val="3"/>
            <w:tcBorders>
              <w:top w:val="single" w:sz="4" w:space="0" w:color="auto"/>
              <w:left w:val="nil"/>
              <w:bottom w:val="nil"/>
              <w:right w:val="nil"/>
            </w:tcBorders>
            <w:shd w:val="clear" w:color="auto" w:fill="auto"/>
            <w:noWrap/>
            <w:hideMark/>
          </w:tcPr>
          <w:p w14:paraId="5A7C0CF3" w14:textId="77777777" w:rsidR="00B33D62" w:rsidRPr="009D376C" w:rsidRDefault="00B33D62" w:rsidP="0019543A">
            <w:pPr>
              <w:spacing w:line="240" w:lineRule="auto"/>
              <w:rPr>
                <w:rFonts w:asciiTheme="majorHAnsi" w:eastAsia="Times New Roman" w:hAnsiTheme="majorHAnsi" w:cstheme="majorHAnsi"/>
                <w:color w:val="000000"/>
                <w:sz w:val="20"/>
                <w:szCs w:val="20"/>
                <w:lang w:val="en-US" w:eastAsia="fi-FI"/>
              </w:rPr>
            </w:pPr>
            <w:r w:rsidRPr="009D376C">
              <w:rPr>
                <w:rFonts w:asciiTheme="majorHAnsi" w:eastAsia="Times New Roman" w:hAnsiTheme="majorHAnsi" w:cstheme="majorHAnsi"/>
                <w:b/>
                <w:color w:val="000000"/>
                <w:sz w:val="20"/>
                <w:szCs w:val="20"/>
                <w:lang w:val="en-US" w:eastAsia="fi-FI"/>
              </w:rPr>
              <w:t>Model 2</w:t>
            </w:r>
            <w:r w:rsidRPr="009D376C">
              <w:rPr>
                <w:rFonts w:asciiTheme="majorHAnsi" w:eastAsia="Times New Roman" w:hAnsiTheme="majorHAnsi" w:cstheme="majorHAnsi"/>
                <w:color w:val="000000"/>
                <w:sz w:val="20"/>
                <w:szCs w:val="20"/>
                <w:lang w:val="en-US" w:eastAsia="fi-FI"/>
              </w:rPr>
              <w:t>: Online response, conditional on response</w:t>
            </w:r>
          </w:p>
        </w:tc>
        <w:tc>
          <w:tcPr>
            <w:tcW w:w="2775" w:type="dxa"/>
            <w:gridSpan w:val="4"/>
            <w:tcBorders>
              <w:top w:val="single" w:sz="4" w:space="0" w:color="auto"/>
              <w:left w:val="nil"/>
              <w:bottom w:val="nil"/>
              <w:right w:val="nil"/>
            </w:tcBorders>
            <w:shd w:val="clear" w:color="auto" w:fill="auto"/>
            <w:noWrap/>
            <w:hideMark/>
          </w:tcPr>
          <w:p w14:paraId="6409B385" w14:textId="77777777" w:rsidR="00B33D62" w:rsidRPr="009D376C" w:rsidRDefault="00B33D62" w:rsidP="0019543A">
            <w:pPr>
              <w:spacing w:line="240" w:lineRule="auto"/>
              <w:rPr>
                <w:rFonts w:asciiTheme="majorHAnsi" w:eastAsia="Times New Roman" w:hAnsiTheme="majorHAnsi" w:cstheme="majorHAnsi"/>
                <w:color w:val="000000"/>
                <w:sz w:val="20"/>
                <w:szCs w:val="20"/>
                <w:lang w:val="en-US" w:eastAsia="fi-FI"/>
              </w:rPr>
            </w:pPr>
            <w:r w:rsidRPr="009D376C">
              <w:rPr>
                <w:rFonts w:asciiTheme="majorHAnsi" w:eastAsia="Times New Roman" w:hAnsiTheme="majorHAnsi" w:cstheme="majorHAnsi"/>
                <w:b/>
                <w:color w:val="000000"/>
                <w:sz w:val="20"/>
                <w:szCs w:val="20"/>
                <w:lang w:val="en-US" w:eastAsia="fi-FI"/>
              </w:rPr>
              <w:t>Model 3:</w:t>
            </w:r>
            <w:r w:rsidRPr="009D376C">
              <w:rPr>
                <w:rFonts w:asciiTheme="majorHAnsi" w:eastAsia="Times New Roman" w:hAnsiTheme="majorHAnsi" w:cstheme="majorHAnsi"/>
                <w:color w:val="000000"/>
                <w:sz w:val="20"/>
                <w:szCs w:val="20"/>
                <w:lang w:val="en-US" w:eastAsia="fi-FI"/>
              </w:rPr>
              <w:t xml:space="preserve"> Redeemed the chocolate, conditional on web response</w:t>
            </w:r>
          </w:p>
        </w:tc>
      </w:tr>
      <w:tr w:rsidR="00B33D62" w:rsidRPr="009D376C" w14:paraId="03A20D4B" w14:textId="77777777" w:rsidTr="00B33D62">
        <w:trPr>
          <w:trHeight w:val="258"/>
        </w:trPr>
        <w:tc>
          <w:tcPr>
            <w:tcW w:w="1802" w:type="dxa"/>
            <w:tcBorders>
              <w:top w:val="single" w:sz="4" w:space="0" w:color="000000"/>
              <w:left w:val="nil"/>
              <w:bottom w:val="single" w:sz="4" w:space="0" w:color="000000"/>
              <w:right w:val="nil"/>
            </w:tcBorders>
            <w:shd w:val="clear" w:color="auto" w:fill="auto"/>
            <w:vAlign w:val="bottom"/>
            <w:hideMark/>
          </w:tcPr>
          <w:p w14:paraId="1A388C1D" w14:textId="77777777" w:rsidR="00B33D62" w:rsidRPr="009D376C" w:rsidRDefault="00B33D62" w:rsidP="0019543A">
            <w:pPr>
              <w:spacing w:line="240" w:lineRule="auto"/>
              <w:rPr>
                <w:rFonts w:asciiTheme="majorHAnsi" w:eastAsia="Times New Roman" w:hAnsiTheme="majorHAnsi" w:cstheme="majorHAnsi"/>
                <w:color w:val="000000"/>
                <w:sz w:val="20"/>
                <w:szCs w:val="20"/>
                <w:lang w:val="en-US" w:eastAsia="fi-FI"/>
              </w:rPr>
            </w:pPr>
            <w:r w:rsidRPr="009D376C">
              <w:rPr>
                <w:rFonts w:asciiTheme="majorHAnsi" w:eastAsia="Times New Roman" w:hAnsiTheme="majorHAnsi" w:cstheme="majorHAnsi"/>
                <w:color w:val="000000"/>
                <w:sz w:val="20"/>
                <w:szCs w:val="20"/>
                <w:lang w:val="en-US" w:eastAsia="fi-FI"/>
              </w:rPr>
              <w:t> </w:t>
            </w:r>
          </w:p>
        </w:tc>
        <w:tc>
          <w:tcPr>
            <w:tcW w:w="914" w:type="dxa"/>
            <w:tcBorders>
              <w:top w:val="single" w:sz="4" w:space="0" w:color="000000"/>
              <w:left w:val="nil"/>
              <w:bottom w:val="single" w:sz="4" w:space="0" w:color="000000"/>
              <w:right w:val="nil"/>
            </w:tcBorders>
            <w:shd w:val="clear" w:color="auto" w:fill="auto"/>
            <w:vAlign w:val="bottom"/>
            <w:hideMark/>
          </w:tcPr>
          <w:p w14:paraId="0663F0B5" w14:textId="77777777" w:rsidR="00B33D62" w:rsidRPr="009D376C" w:rsidRDefault="00B33D62" w:rsidP="0019543A">
            <w:pPr>
              <w:spacing w:line="240" w:lineRule="auto"/>
              <w:jc w:val="center"/>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B</w:t>
            </w:r>
          </w:p>
        </w:tc>
        <w:tc>
          <w:tcPr>
            <w:tcW w:w="914" w:type="dxa"/>
            <w:tcBorders>
              <w:top w:val="single" w:sz="4" w:space="0" w:color="000000"/>
              <w:left w:val="nil"/>
              <w:bottom w:val="single" w:sz="4" w:space="0" w:color="000000"/>
              <w:right w:val="nil"/>
            </w:tcBorders>
            <w:shd w:val="clear" w:color="auto" w:fill="auto"/>
            <w:vAlign w:val="bottom"/>
            <w:hideMark/>
          </w:tcPr>
          <w:p w14:paraId="4315FDC3" w14:textId="77777777" w:rsidR="00B33D62" w:rsidRPr="009D376C" w:rsidRDefault="00B33D62" w:rsidP="0019543A">
            <w:pPr>
              <w:spacing w:line="240" w:lineRule="auto"/>
              <w:jc w:val="center"/>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S.E.</w:t>
            </w:r>
          </w:p>
        </w:tc>
        <w:tc>
          <w:tcPr>
            <w:tcW w:w="915" w:type="dxa"/>
            <w:tcBorders>
              <w:top w:val="single" w:sz="4" w:space="0" w:color="000000"/>
              <w:left w:val="nil"/>
              <w:bottom w:val="single" w:sz="4" w:space="0" w:color="000000"/>
              <w:right w:val="nil"/>
            </w:tcBorders>
            <w:shd w:val="clear" w:color="auto" w:fill="auto"/>
            <w:vAlign w:val="bottom"/>
            <w:hideMark/>
          </w:tcPr>
          <w:p w14:paraId="3DB4E98C" w14:textId="77777777" w:rsidR="00B33D62" w:rsidRPr="009D376C" w:rsidRDefault="00B33D62" w:rsidP="0019543A">
            <w:pPr>
              <w:spacing w:line="240" w:lineRule="auto"/>
              <w:jc w:val="center"/>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Exp(B)</w:t>
            </w:r>
          </w:p>
        </w:tc>
        <w:tc>
          <w:tcPr>
            <w:tcW w:w="914" w:type="dxa"/>
            <w:gridSpan w:val="2"/>
            <w:tcBorders>
              <w:top w:val="single" w:sz="4" w:space="0" w:color="000000"/>
              <w:left w:val="nil"/>
              <w:bottom w:val="single" w:sz="4" w:space="0" w:color="000000"/>
              <w:right w:val="nil"/>
            </w:tcBorders>
            <w:shd w:val="clear" w:color="auto" w:fill="auto"/>
            <w:vAlign w:val="bottom"/>
            <w:hideMark/>
          </w:tcPr>
          <w:p w14:paraId="6070732E" w14:textId="77777777" w:rsidR="00B33D62" w:rsidRPr="009D376C" w:rsidRDefault="00B33D62" w:rsidP="0019543A">
            <w:pPr>
              <w:spacing w:line="240" w:lineRule="auto"/>
              <w:jc w:val="center"/>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B</w:t>
            </w:r>
          </w:p>
        </w:tc>
        <w:tc>
          <w:tcPr>
            <w:tcW w:w="915" w:type="dxa"/>
            <w:tcBorders>
              <w:top w:val="single" w:sz="4" w:space="0" w:color="000000"/>
              <w:left w:val="nil"/>
              <w:bottom w:val="single" w:sz="4" w:space="0" w:color="000000"/>
              <w:right w:val="nil"/>
            </w:tcBorders>
            <w:shd w:val="clear" w:color="auto" w:fill="auto"/>
            <w:vAlign w:val="bottom"/>
            <w:hideMark/>
          </w:tcPr>
          <w:p w14:paraId="54FF84F3" w14:textId="77777777" w:rsidR="00B33D62" w:rsidRPr="009D376C" w:rsidRDefault="00B33D62" w:rsidP="0019543A">
            <w:pPr>
              <w:spacing w:line="240" w:lineRule="auto"/>
              <w:jc w:val="center"/>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S.E.</w:t>
            </w:r>
          </w:p>
        </w:tc>
        <w:tc>
          <w:tcPr>
            <w:tcW w:w="914" w:type="dxa"/>
            <w:gridSpan w:val="2"/>
            <w:tcBorders>
              <w:top w:val="single" w:sz="4" w:space="0" w:color="000000"/>
              <w:left w:val="nil"/>
              <w:bottom w:val="single" w:sz="4" w:space="0" w:color="000000"/>
              <w:right w:val="nil"/>
            </w:tcBorders>
            <w:shd w:val="clear" w:color="auto" w:fill="auto"/>
            <w:vAlign w:val="bottom"/>
            <w:hideMark/>
          </w:tcPr>
          <w:p w14:paraId="699C44ED" w14:textId="77777777" w:rsidR="00B33D62" w:rsidRPr="009D376C" w:rsidRDefault="00B33D62" w:rsidP="0019543A">
            <w:pPr>
              <w:spacing w:line="240" w:lineRule="auto"/>
              <w:jc w:val="center"/>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Exp(B)</w:t>
            </w:r>
          </w:p>
        </w:tc>
        <w:tc>
          <w:tcPr>
            <w:tcW w:w="915" w:type="dxa"/>
            <w:tcBorders>
              <w:top w:val="single" w:sz="4" w:space="0" w:color="000000"/>
              <w:left w:val="nil"/>
              <w:bottom w:val="single" w:sz="4" w:space="0" w:color="000000"/>
              <w:right w:val="nil"/>
            </w:tcBorders>
            <w:shd w:val="clear" w:color="auto" w:fill="auto"/>
            <w:vAlign w:val="bottom"/>
            <w:hideMark/>
          </w:tcPr>
          <w:p w14:paraId="2B0D3275" w14:textId="77777777" w:rsidR="00B33D62" w:rsidRPr="009D376C" w:rsidRDefault="00B33D62" w:rsidP="0019543A">
            <w:pPr>
              <w:spacing w:line="240" w:lineRule="auto"/>
              <w:jc w:val="center"/>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B</w:t>
            </w:r>
          </w:p>
        </w:tc>
        <w:tc>
          <w:tcPr>
            <w:tcW w:w="914" w:type="dxa"/>
            <w:tcBorders>
              <w:top w:val="single" w:sz="4" w:space="0" w:color="000000"/>
              <w:left w:val="nil"/>
              <w:bottom w:val="single" w:sz="4" w:space="0" w:color="000000"/>
              <w:right w:val="nil"/>
            </w:tcBorders>
            <w:shd w:val="clear" w:color="auto" w:fill="auto"/>
            <w:vAlign w:val="bottom"/>
            <w:hideMark/>
          </w:tcPr>
          <w:p w14:paraId="34557DBC" w14:textId="77777777" w:rsidR="00B33D62" w:rsidRPr="009D376C" w:rsidRDefault="00B33D62" w:rsidP="0019543A">
            <w:pPr>
              <w:spacing w:line="240" w:lineRule="auto"/>
              <w:jc w:val="center"/>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S.E.</w:t>
            </w:r>
          </w:p>
        </w:tc>
        <w:tc>
          <w:tcPr>
            <w:tcW w:w="915" w:type="dxa"/>
            <w:tcBorders>
              <w:top w:val="single" w:sz="4" w:space="0" w:color="000000"/>
              <w:left w:val="nil"/>
              <w:bottom w:val="single" w:sz="4" w:space="0" w:color="000000"/>
              <w:right w:val="nil"/>
            </w:tcBorders>
            <w:shd w:val="clear" w:color="auto" w:fill="auto"/>
            <w:vAlign w:val="bottom"/>
            <w:hideMark/>
          </w:tcPr>
          <w:p w14:paraId="4EC556DC" w14:textId="77777777" w:rsidR="00B33D62" w:rsidRPr="009D376C" w:rsidRDefault="00B33D62" w:rsidP="0019543A">
            <w:pPr>
              <w:spacing w:line="240" w:lineRule="auto"/>
              <w:jc w:val="center"/>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Exp(B)</w:t>
            </w:r>
          </w:p>
        </w:tc>
      </w:tr>
      <w:tr w:rsidR="00B33D62" w:rsidRPr="009D376C" w14:paraId="1B1CA811" w14:textId="77777777" w:rsidTr="00B33D62">
        <w:trPr>
          <w:trHeight w:val="258"/>
        </w:trPr>
        <w:tc>
          <w:tcPr>
            <w:tcW w:w="1802" w:type="dxa"/>
            <w:tcBorders>
              <w:top w:val="single" w:sz="4" w:space="0" w:color="000000"/>
              <w:left w:val="nil"/>
              <w:right w:val="nil"/>
            </w:tcBorders>
            <w:shd w:val="clear" w:color="auto" w:fill="auto"/>
            <w:vAlign w:val="bottom"/>
          </w:tcPr>
          <w:p w14:paraId="7AE4A1C7"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Data collection</w:t>
            </w:r>
          </w:p>
        </w:tc>
        <w:tc>
          <w:tcPr>
            <w:tcW w:w="914" w:type="dxa"/>
            <w:tcBorders>
              <w:top w:val="single" w:sz="4" w:space="0" w:color="000000"/>
              <w:left w:val="nil"/>
              <w:right w:val="nil"/>
            </w:tcBorders>
            <w:shd w:val="clear" w:color="auto" w:fill="auto"/>
            <w:vAlign w:val="bottom"/>
          </w:tcPr>
          <w:p w14:paraId="301F3D97" w14:textId="77777777" w:rsidR="00B33D62" w:rsidRPr="009D376C" w:rsidRDefault="00B33D62" w:rsidP="0019543A">
            <w:pPr>
              <w:spacing w:line="240" w:lineRule="auto"/>
              <w:jc w:val="center"/>
              <w:rPr>
                <w:rFonts w:asciiTheme="majorHAnsi" w:eastAsia="Times New Roman" w:hAnsiTheme="majorHAnsi" w:cstheme="majorHAnsi"/>
                <w:color w:val="000000"/>
                <w:sz w:val="20"/>
                <w:szCs w:val="20"/>
                <w:lang w:eastAsia="fi-FI"/>
              </w:rPr>
            </w:pPr>
          </w:p>
        </w:tc>
        <w:tc>
          <w:tcPr>
            <w:tcW w:w="914" w:type="dxa"/>
            <w:tcBorders>
              <w:top w:val="single" w:sz="4" w:space="0" w:color="000000"/>
              <w:left w:val="nil"/>
              <w:right w:val="nil"/>
            </w:tcBorders>
            <w:shd w:val="clear" w:color="auto" w:fill="auto"/>
            <w:vAlign w:val="bottom"/>
          </w:tcPr>
          <w:p w14:paraId="398A8BB8" w14:textId="77777777" w:rsidR="00B33D62" w:rsidRPr="009D376C" w:rsidRDefault="00B33D62" w:rsidP="0019543A">
            <w:pPr>
              <w:spacing w:line="240" w:lineRule="auto"/>
              <w:jc w:val="center"/>
              <w:rPr>
                <w:rFonts w:asciiTheme="majorHAnsi" w:eastAsia="Times New Roman" w:hAnsiTheme="majorHAnsi" w:cstheme="majorHAnsi"/>
                <w:color w:val="000000"/>
                <w:sz w:val="20"/>
                <w:szCs w:val="20"/>
                <w:lang w:eastAsia="fi-FI"/>
              </w:rPr>
            </w:pPr>
          </w:p>
        </w:tc>
        <w:tc>
          <w:tcPr>
            <w:tcW w:w="915" w:type="dxa"/>
            <w:tcBorders>
              <w:top w:val="single" w:sz="4" w:space="0" w:color="000000"/>
              <w:left w:val="nil"/>
              <w:right w:val="single" w:sz="4" w:space="0" w:color="auto"/>
            </w:tcBorders>
            <w:shd w:val="clear" w:color="auto" w:fill="auto"/>
            <w:vAlign w:val="bottom"/>
          </w:tcPr>
          <w:p w14:paraId="131EDEB9" w14:textId="77777777" w:rsidR="00B33D62" w:rsidRPr="009D376C" w:rsidRDefault="00B33D62" w:rsidP="0019543A">
            <w:pPr>
              <w:spacing w:line="240" w:lineRule="auto"/>
              <w:jc w:val="center"/>
              <w:rPr>
                <w:rFonts w:asciiTheme="majorHAnsi" w:eastAsia="Times New Roman" w:hAnsiTheme="majorHAnsi" w:cstheme="majorHAnsi"/>
                <w:color w:val="000000"/>
                <w:sz w:val="20"/>
                <w:szCs w:val="20"/>
                <w:lang w:eastAsia="fi-FI"/>
              </w:rPr>
            </w:pPr>
          </w:p>
        </w:tc>
        <w:tc>
          <w:tcPr>
            <w:tcW w:w="914" w:type="dxa"/>
            <w:gridSpan w:val="2"/>
            <w:tcBorders>
              <w:top w:val="single" w:sz="4" w:space="0" w:color="000000"/>
              <w:left w:val="single" w:sz="4" w:space="0" w:color="auto"/>
              <w:right w:val="nil"/>
            </w:tcBorders>
            <w:shd w:val="clear" w:color="auto" w:fill="auto"/>
            <w:vAlign w:val="bottom"/>
          </w:tcPr>
          <w:p w14:paraId="2253209F" w14:textId="77777777" w:rsidR="00B33D62" w:rsidRPr="009D376C" w:rsidRDefault="00B33D62" w:rsidP="0019543A">
            <w:pPr>
              <w:spacing w:line="240" w:lineRule="auto"/>
              <w:jc w:val="center"/>
              <w:rPr>
                <w:rFonts w:asciiTheme="majorHAnsi" w:eastAsia="Times New Roman" w:hAnsiTheme="majorHAnsi" w:cstheme="majorHAnsi"/>
                <w:color w:val="000000"/>
                <w:sz w:val="20"/>
                <w:szCs w:val="20"/>
                <w:lang w:eastAsia="fi-FI"/>
              </w:rPr>
            </w:pPr>
          </w:p>
        </w:tc>
        <w:tc>
          <w:tcPr>
            <w:tcW w:w="915" w:type="dxa"/>
            <w:tcBorders>
              <w:top w:val="single" w:sz="4" w:space="0" w:color="000000"/>
              <w:left w:val="nil"/>
              <w:right w:val="nil"/>
            </w:tcBorders>
            <w:shd w:val="clear" w:color="auto" w:fill="auto"/>
            <w:vAlign w:val="bottom"/>
          </w:tcPr>
          <w:p w14:paraId="6A173D30" w14:textId="77777777" w:rsidR="00B33D62" w:rsidRPr="009D376C" w:rsidRDefault="00B33D62" w:rsidP="0019543A">
            <w:pPr>
              <w:spacing w:line="240" w:lineRule="auto"/>
              <w:jc w:val="center"/>
              <w:rPr>
                <w:rFonts w:asciiTheme="majorHAnsi" w:eastAsia="Times New Roman" w:hAnsiTheme="majorHAnsi" w:cstheme="majorHAnsi"/>
                <w:color w:val="000000"/>
                <w:sz w:val="20"/>
                <w:szCs w:val="20"/>
                <w:lang w:eastAsia="fi-FI"/>
              </w:rPr>
            </w:pPr>
          </w:p>
        </w:tc>
        <w:tc>
          <w:tcPr>
            <w:tcW w:w="914" w:type="dxa"/>
            <w:gridSpan w:val="2"/>
            <w:tcBorders>
              <w:top w:val="single" w:sz="4" w:space="0" w:color="000000"/>
              <w:left w:val="nil"/>
              <w:right w:val="single" w:sz="4" w:space="0" w:color="auto"/>
            </w:tcBorders>
            <w:shd w:val="clear" w:color="auto" w:fill="auto"/>
            <w:vAlign w:val="bottom"/>
          </w:tcPr>
          <w:p w14:paraId="18935AF1" w14:textId="77777777" w:rsidR="00B33D62" w:rsidRPr="009D376C" w:rsidRDefault="00B33D62" w:rsidP="0019543A">
            <w:pPr>
              <w:spacing w:line="240" w:lineRule="auto"/>
              <w:jc w:val="center"/>
              <w:rPr>
                <w:rFonts w:asciiTheme="majorHAnsi" w:eastAsia="Times New Roman" w:hAnsiTheme="majorHAnsi" w:cstheme="majorHAnsi"/>
                <w:color w:val="000000"/>
                <w:sz w:val="20"/>
                <w:szCs w:val="20"/>
                <w:lang w:eastAsia="fi-FI"/>
              </w:rPr>
            </w:pPr>
          </w:p>
        </w:tc>
        <w:tc>
          <w:tcPr>
            <w:tcW w:w="915" w:type="dxa"/>
            <w:tcBorders>
              <w:top w:val="single" w:sz="4" w:space="0" w:color="000000"/>
              <w:left w:val="single" w:sz="4" w:space="0" w:color="auto"/>
              <w:right w:val="nil"/>
            </w:tcBorders>
            <w:shd w:val="clear" w:color="auto" w:fill="auto"/>
            <w:vAlign w:val="bottom"/>
          </w:tcPr>
          <w:p w14:paraId="681496BB" w14:textId="77777777" w:rsidR="00B33D62" w:rsidRPr="009D376C" w:rsidRDefault="00B33D62" w:rsidP="0019543A">
            <w:pPr>
              <w:spacing w:line="240" w:lineRule="auto"/>
              <w:jc w:val="center"/>
              <w:rPr>
                <w:rFonts w:asciiTheme="majorHAnsi" w:eastAsia="Times New Roman" w:hAnsiTheme="majorHAnsi" w:cstheme="majorHAnsi"/>
                <w:color w:val="000000"/>
                <w:sz w:val="20"/>
                <w:szCs w:val="20"/>
                <w:lang w:eastAsia="fi-FI"/>
              </w:rPr>
            </w:pPr>
          </w:p>
        </w:tc>
        <w:tc>
          <w:tcPr>
            <w:tcW w:w="914" w:type="dxa"/>
            <w:tcBorders>
              <w:top w:val="single" w:sz="4" w:space="0" w:color="000000"/>
              <w:left w:val="nil"/>
              <w:right w:val="nil"/>
            </w:tcBorders>
            <w:shd w:val="clear" w:color="auto" w:fill="auto"/>
            <w:vAlign w:val="bottom"/>
          </w:tcPr>
          <w:p w14:paraId="78E77333" w14:textId="77777777" w:rsidR="00B33D62" w:rsidRPr="009D376C" w:rsidRDefault="00B33D62" w:rsidP="0019543A">
            <w:pPr>
              <w:spacing w:line="240" w:lineRule="auto"/>
              <w:jc w:val="center"/>
              <w:rPr>
                <w:rFonts w:asciiTheme="majorHAnsi" w:eastAsia="Times New Roman" w:hAnsiTheme="majorHAnsi" w:cstheme="majorHAnsi"/>
                <w:color w:val="000000"/>
                <w:sz w:val="20"/>
                <w:szCs w:val="20"/>
                <w:lang w:eastAsia="fi-FI"/>
              </w:rPr>
            </w:pPr>
          </w:p>
        </w:tc>
        <w:tc>
          <w:tcPr>
            <w:tcW w:w="915" w:type="dxa"/>
            <w:tcBorders>
              <w:top w:val="single" w:sz="4" w:space="0" w:color="000000"/>
              <w:left w:val="nil"/>
              <w:right w:val="single" w:sz="4" w:space="0" w:color="auto"/>
            </w:tcBorders>
            <w:shd w:val="clear" w:color="auto" w:fill="auto"/>
            <w:vAlign w:val="bottom"/>
          </w:tcPr>
          <w:p w14:paraId="623B619D" w14:textId="77777777" w:rsidR="00B33D62" w:rsidRPr="009D376C" w:rsidRDefault="00B33D62" w:rsidP="0019543A">
            <w:pPr>
              <w:spacing w:line="240" w:lineRule="auto"/>
              <w:jc w:val="center"/>
              <w:rPr>
                <w:rFonts w:asciiTheme="majorHAnsi" w:eastAsia="Times New Roman" w:hAnsiTheme="majorHAnsi" w:cstheme="majorHAnsi"/>
                <w:color w:val="000000"/>
                <w:sz w:val="20"/>
                <w:szCs w:val="20"/>
                <w:lang w:eastAsia="fi-FI"/>
              </w:rPr>
            </w:pPr>
          </w:p>
        </w:tc>
      </w:tr>
      <w:tr w:rsidR="00B33D62" w:rsidRPr="009D376C" w14:paraId="33575DD6" w14:textId="77777777" w:rsidTr="00B33D62">
        <w:trPr>
          <w:trHeight w:val="258"/>
        </w:trPr>
        <w:tc>
          <w:tcPr>
            <w:tcW w:w="1802" w:type="dxa"/>
            <w:tcBorders>
              <w:top w:val="nil"/>
              <w:left w:val="nil"/>
              <w:bottom w:val="nil"/>
              <w:right w:val="nil"/>
            </w:tcBorders>
            <w:shd w:val="clear" w:color="auto" w:fill="auto"/>
            <w:hideMark/>
          </w:tcPr>
          <w:p w14:paraId="35685A76"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E-mail available</w:t>
            </w:r>
          </w:p>
        </w:tc>
        <w:tc>
          <w:tcPr>
            <w:tcW w:w="914" w:type="dxa"/>
            <w:tcBorders>
              <w:top w:val="nil"/>
              <w:left w:val="nil"/>
              <w:bottom w:val="nil"/>
              <w:right w:val="nil"/>
            </w:tcBorders>
            <w:shd w:val="clear" w:color="auto" w:fill="auto"/>
            <w:noWrap/>
            <w:hideMark/>
          </w:tcPr>
          <w:p w14:paraId="7F6322E0"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0.271***</w:t>
            </w:r>
          </w:p>
        </w:tc>
        <w:tc>
          <w:tcPr>
            <w:tcW w:w="914" w:type="dxa"/>
            <w:tcBorders>
              <w:top w:val="nil"/>
              <w:left w:val="nil"/>
              <w:bottom w:val="nil"/>
              <w:right w:val="nil"/>
            </w:tcBorders>
            <w:shd w:val="clear" w:color="auto" w:fill="auto"/>
            <w:noWrap/>
            <w:hideMark/>
          </w:tcPr>
          <w:p w14:paraId="193DEC8E"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0.085</w:t>
            </w:r>
          </w:p>
        </w:tc>
        <w:tc>
          <w:tcPr>
            <w:tcW w:w="915" w:type="dxa"/>
            <w:tcBorders>
              <w:top w:val="nil"/>
              <w:left w:val="nil"/>
              <w:bottom w:val="nil"/>
              <w:right w:val="single" w:sz="4" w:space="0" w:color="auto"/>
            </w:tcBorders>
            <w:shd w:val="clear" w:color="auto" w:fill="auto"/>
            <w:noWrap/>
            <w:hideMark/>
          </w:tcPr>
          <w:p w14:paraId="77A8BCC1"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1.312</w:t>
            </w:r>
          </w:p>
        </w:tc>
        <w:tc>
          <w:tcPr>
            <w:tcW w:w="914" w:type="dxa"/>
            <w:gridSpan w:val="2"/>
            <w:tcBorders>
              <w:top w:val="nil"/>
              <w:left w:val="single" w:sz="4" w:space="0" w:color="auto"/>
              <w:bottom w:val="nil"/>
              <w:right w:val="nil"/>
            </w:tcBorders>
            <w:shd w:val="clear" w:color="auto" w:fill="auto"/>
            <w:noWrap/>
            <w:hideMark/>
          </w:tcPr>
          <w:p w14:paraId="1F5E28A8"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0.552***</w:t>
            </w:r>
          </w:p>
        </w:tc>
        <w:tc>
          <w:tcPr>
            <w:tcW w:w="915" w:type="dxa"/>
            <w:tcBorders>
              <w:top w:val="nil"/>
              <w:left w:val="nil"/>
              <w:bottom w:val="nil"/>
              <w:right w:val="nil"/>
            </w:tcBorders>
            <w:shd w:val="clear" w:color="auto" w:fill="auto"/>
            <w:noWrap/>
            <w:hideMark/>
          </w:tcPr>
          <w:p w14:paraId="7A4A8846"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0.158</w:t>
            </w:r>
          </w:p>
        </w:tc>
        <w:tc>
          <w:tcPr>
            <w:tcW w:w="914" w:type="dxa"/>
            <w:gridSpan w:val="2"/>
            <w:tcBorders>
              <w:top w:val="nil"/>
              <w:left w:val="nil"/>
              <w:bottom w:val="nil"/>
              <w:right w:val="single" w:sz="4" w:space="0" w:color="auto"/>
            </w:tcBorders>
            <w:shd w:val="clear" w:color="auto" w:fill="auto"/>
            <w:noWrap/>
            <w:hideMark/>
          </w:tcPr>
          <w:p w14:paraId="185ADE11"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1.737</w:t>
            </w:r>
          </w:p>
        </w:tc>
        <w:tc>
          <w:tcPr>
            <w:tcW w:w="915" w:type="dxa"/>
            <w:tcBorders>
              <w:top w:val="nil"/>
              <w:left w:val="single" w:sz="4" w:space="0" w:color="auto"/>
              <w:bottom w:val="nil"/>
              <w:right w:val="nil"/>
            </w:tcBorders>
            <w:shd w:val="clear" w:color="auto" w:fill="auto"/>
            <w:noWrap/>
            <w:hideMark/>
          </w:tcPr>
          <w:p w14:paraId="7105F6BC"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0.141</w:t>
            </w:r>
          </w:p>
        </w:tc>
        <w:tc>
          <w:tcPr>
            <w:tcW w:w="914" w:type="dxa"/>
            <w:tcBorders>
              <w:top w:val="nil"/>
              <w:left w:val="nil"/>
              <w:bottom w:val="nil"/>
              <w:right w:val="nil"/>
            </w:tcBorders>
            <w:shd w:val="clear" w:color="auto" w:fill="auto"/>
            <w:noWrap/>
            <w:hideMark/>
          </w:tcPr>
          <w:p w14:paraId="0CD76BDB"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0.242</w:t>
            </w:r>
          </w:p>
        </w:tc>
        <w:tc>
          <w:tcPr>
            <w:tcW w:w="915" w:type="dxa"/>
            <w:tcBorders>
              <w:top w:val="nil"/>
              <w:left w:val="nil"/>
              <w:bottom w:val="nil"/>
              <w:right w:val="single" w:sz="4" w:space="0" w:color="auto"/>
            </w:tcBorders>
            <w:shd w:val="clear" w:color="auto" w:fill="auto"/>
            <w:noWrap/>
            <w:hideMark/>
          </w:tcPr>
          <w:p w14:paraId="3F517737"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1.152</w:t>
            </w:r>
          </w:p>
        </w:tc>
      </w:tr>
      <w:tr w:rsidR="00B33D62" w:rsidRPr="009D376C" w14:paraId="4EB6F63F" w14:textId="77777777" w:rsidTr="00B33D62">
        <w:trPr>
          <w:trHeight w:val="258"/>
        </w:trPr>
        <w:tc>
          <w:tcPr>
            <w:tcW w:w="1802" w:type="dxa"/>
            <w:tcBorders>
              <w:top w:val="nil"/>
              <w:left w:val="nil"/>
              <w:bottom w:val="nil"/>
              <w:right w:val="nil"/>
            </w:tcBorders>
            <w:shd w:val="clear" w:color="auto" w:fill="auto"/>
            <w:hideMark/>
          </w:tcPr>
          <w:p w14:paraId="39B7A0F3"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Incentive vs no incentive</w:t>
            </w:r>
          </w:p>
        </w:tc>
        <w:tc>
          <w:tcPr>
            <w:tcW w:w="914" w:type="dxa"/>
            <w:tcBorders>
              <w:top w:val="nil"/>
              <w:left w:val="nil"/>
              <w:bottom w:val="nil"/>
              <w:right w:val="nil"/>
            </w:tcBorders>
            <w:shd w:val="clear" w:color="auto" w:fill="auto"/>
            <w:noWrap/>
            <w:hideMark/>
          </w:tcPr>
          <w:p w14:paraId="54A66BAF"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0.202***</w:t>
            </w:r>
          </w:p>
        </w:tc>
        <w:tc>
          <w:tcPr>
            <w:tcW w:w="914" w:type="dxa"/>
            <w:tcBorders>
              <w:top w:val="nil"/>
              <w:left w:val="nil"/>
              <w:bottom w:val="nil"/>
              <w:right w:val="nil"/>
            </w:tcBorders>
            <w:shd w:val="clear" w:color="auto" w:fill="auto"/>
            <w:noWrap/>
            <w:hideMark/>
          </w:tcPr>
          <w:p w14:paraId="0F7DF783"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0.075</w:t>
            </w:r>
          </w:p>
        </w:tc>
        <w:tc>
          <w:tcPr>
            <w:tcW w:w="915" w:type="dxa"/>
            <w:tcBorders>
              <w:top w:val="nil"/>
              <w:left w:val="nil"/>
              <w:bottom w:val="nil"/>
              <w:right w:val="single" w:sz="4" w:space="0" w:color="auto"/>
            </w:tcBorders>
            <w:shd w:val="clear" w:color="auto" w:fill="auto"/>
            <w:noWrap/>
            <w:hideMark/>
          </w:tcPr>
          <w:p w14:paraId="6E8D1562"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1.224</w:t>
            </w:r>
          </w:p>
        </w:tc>
        <w:tc>
          <w:tcPr>
            <w:tcW w:w="914" w:type="dxa"/>
            <w:gridSpan w:val="2"/>
            <w:tcBorders>
              <w:top w:val="nil"/>
              <w:left w:val="single" w:sz="4" w:space="0" w:color="auto"/>
              <w:bottom w:val="nil"/>
              <w:right w:val="nil"/>
            </w:tcBorders>
            <w:shd w:val="clear" w:color="auto" w:fill="auto"/>
            <w:noWrap/>
            <w:hideMark/>
          </w:tcPr>
          <w:p w14:paraId="357A44AB"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0.391***</w:t>
            </w:r>
          </w:p>
        </w:tc>
        <w:tc>
          <w:tcPr>
            <w:tcW w:w="915" w:type="dxa"/>
            <w:tcBorders>
              <w:top w:val="nil"/>
              <w:left w:val="nil"/>
              <w:bottom w:val="nil"/>
              <w:right w:val="nil"/>
            </w:tcBorders>
            <w:shd w:val="clear" w:color="auto" w:fill="auto"/>
            <w:noWrap/>
            <w:hideMark/>
          </w:tcPr>
          <w:p w14:paraId="2EA91589"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0.140</w:t>
            </w:r>
          </w:p>
        </w:tc>
        <w:tc>
          <w:tcPr>
            <w:tcW w:w="914" w:type="dxa"/>
            <w:gridSpan w:val="2"/>
            <w:tcBorders>
              <w:top w:val="nil"/>
              <w:left w:val="nil"/>
              <w:bottom w:val="nil"/>
              <w:right w:val="single" w:sz="4" w:space="0" w:color="auto"/>
            </w:tcBorders>
            <w:shd w:val="clear" w:color="auto" w:fill="auto"/>
            <w:noWrap/>
            <w:hideMark/>
          </w:tcPr>
          <w:p w14:paraId="27ABF233"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1.479</w:t>
            </w:r>
          </w:p>
        </w:tc>
        <w:tc>
          <w:tcPr>
            <w:tcW w:w="915" w:type="dxa"/>
            <w:tcBorders>
              <w:top w:val="nil"/>
              <w:left w:val="single" w:sz="4" w:space="0" w:color="auto"/>
              <w:bottom w:val="nil"/>
              <w:right w:val="nil"/>
            </w:tcBorders>
            <w:shd w:val="clear" w:color="auto" w:fill="auto"/>
            <w:noWrap/>
            <w:vAlign w:val="bottom"/>
            <w:hideMark/>
          </w:tcPr>
          <w:p w14:paraId="0A7768AB"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p>
        </w:tc>
        <w:tc>
          <w:tcPr>
            <w:tcW w:w="914" w:type="dxa"/>
            <w:tcBorders>
              <w:top w:val="nil"/>
              <w:left w:val="nil"/>
              <w:bottom w:val="nil"/>
              <w:right w:val="nil"/>
            </w:tcBorders>
            <w:shd w:val="clear" w:color="auto" w:fill="auto"/>
            <w:noWrap/>
            <w:vAlign w:val="bottom"/>
            <w:hideMark/>
          </w:tcPr>
          <w:p w14:paraId="21F72F4E"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c>
          <w:tcPr>
            <w:tcW w:w="915" w:type="dxa"/>
            <w:tcBorders>
              <w:top w:val="nil"/>
              <w:left w:val="nil"/>
              <w:bottom w:val="nil"/>
              <w:right w:val="single" w:sz="4" w:space="0" w:color="auto"/>
            </w:tcBorders>
            <w:shd w:val="clear" w:color="auto" w:fill="auto"/>
            <w:noWrap/>
            <w:vAlign w:val="bottom"/>
            <w:hideMark/>
          </w:tcPr>
          <w:p w14:paraId="22DE8C3E"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r>
      <w:tr w:rsidR="00B33D62" w:rsidRPr="009D376C" w14:paraId="29C03946" w14:textId="77777777" w:rsidTr="00B33D62">
        <w:trPr>
          <w:trHeight w:val="494"/>
        </w:trPr>
        <w:tc>
          <w:tcPr>
            <w:tcW w:w="1802" w:type="dxa"/>
            <w:tcBorders>
              <w:top w:val="nil"/>
              <w:left w:val="nil"/>
              <w:bottom w:val="nil"/>
              <w:right w:val="nil"/>
            </w:tcBorders>
            <w:shd w:val="clear" w:color="auto" w:fill="auto"/>
            <w:hideMark/>
          </w:tcPr>
          <w:p w14:paraId="5C11B2EA"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Supplementary sample</w:t>
            </w:r>
          </w:p>
        </w:tc>
        <w:tc>
          <w:tcPr>
            <w:tcW w:w="914" w:type="dxa"/>
            <w:tcBorders>
              <w:top w:val="nil"/>
              <w:left w:val="nil"/>
              <w:bottom w:val="nil"/>
              <w:right w:val="nil"/>
            </w:tcBorders>
            <w:shd w:val="clear" w:color="auto" w:fill="auto"/>
            <w:noWrap/>
            <w:hideMark/>
          </w:tcPr>
          <w:p w14:paraId="2E09A7A8"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-0.289***</w:t>
            </w:r>
          </w:p>
        </w:tc>
        <w:tc>
          <w:tcPr>
            <w:tcW w:w="914" w:type="dxa"/>
            <w:tcBorders>
              <w:top w:val="nil"/>
              <w:left w:val="nil"/>
              <w:bottom w:val="nil"/>
              <w:right w:val="nil"/>
            </w:tcBorders>
            <w:shd w:val="clear" w:color="auto" w:fill="auto"/>
            <w:noWrap/>
            <w:hideMark/>
          </w:tcPr>
          <w:p w14:paraId="43719A0B"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0.092</w:t>
            </w:r>
          </w:p>
        </w:tc>
        <w:tc>
          <w:tcPr>
            <w:tcW w:w="915" w:type="dxa"/>
            <w:tcBorders>
              <w:top w:val="nil"/>
              <w:left w:val="nil"/>
              <w:bottom w:val="nil"/>
              <w:right w:val="single" w:sz="4" w:space="0" w:color="auto"/>
            </w:tcBorders>
            <w:shd w:val="clear" w:color="auto" w:fill="auto"/>
            <w:noWrap/>
            <w:hideMark/>
          </w:tcPr>
          <w:p w14:paraId="782F72CE"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0.749</w:t>
            </w:r>
          </w:p>
        </w:tc>
        <w:tc>
          <w:tcPr>
            <w:tcW w:w="914" w:type="dxa"/>
            <w:gridSpan w:val="2"/>
            <w:tcBorders>
              <w:top w:val="nil"/>
              <w:left w:val="single" w:sz="4" w:space="0" w:color="auto"/>
              <w:bottom w:val="nil"/>
              <w:right w:val="nil"/>
            </w:tcBorders>
            <w:shd w:val="clear" w:color="auto" w:fill="auto"/>
            <w:noWrap/>
            <w:hideMark/>
          </w:tcPr>
          <w:p w14:paraId="4F544EBB"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2.153***</w:t>
            </w:r>
          </w:p>
        </w:tc>
        <w:tc>
          <w:tcPr>
            <w:tcW w:w="915" w:type="dxa"/>
            <w:tcBorders>
              <w:top w:val="nil"/>
              <w:left w:val="nil"/>
              <w:bottom w:val="nil"/>
              <w:right w:val="nil"/>
            </w:tcBorders>
            <w:shd w:val="clear" w:color="auto" w:fill="auto"/>
            <w:noWrap/>
            <w:hideMark/>
          </w:tcPr>
          <w:p w14:paraId="705D4C8C"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0.299</w:t>
            </w:r>
          </w:p>
        </w:tc>
        <w:tc>
          <w:tcPr>
            <w:tcW w:w="914" w:type="dxa"/>
            <w:gridSpan w:val="2"/>
            <w:tcBorders>
              <w:top w:val="nil"/>
              <w:left w:val="nil"/>
              <w:bottom w:val="nil"/>
              <w:right w:val="single" w:sz="4" w:space="0" w:color="auto"/>
            </w:tcBorders>
            <w:shd w:val="clear" w:color="auto" w:fill="auto"/>
            <w:noWrap/>
            <w:hideMark/>
          </w:tcPr>
          <w:p w14:paraId="464E9749"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8.613</w:t>
            </w:r>
          </w:p>
        </w:tc>
        <w:tc>
          <w:tcPr>
            <w:tcW w:w="915" w:type="dxa"/>
            <w:tcBorders>
              <w:top w:val="nil"/>
              <w:left w:val="single" w:sz="4" w:space="0" w:color="auto"/>
              <w:bottom w:val="nil"/>
              <w:right w:val="nil"/>
            </w:tcBorders>
            <w:shd w:val="clear" w:color="auto" w:fill="auto"/>
            <w:noWrap/>
            <w:hideMark/>
          </w:tcPr>
          <w:p w14:paraId="500EB23F"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0.013</w:t>
            </w:r>
          </w:p>
        </w:tc>
        <w:tc>
          <w:tcPr>
            <w:tcW w:w="914" w:type="dxa"/>
            <w:tcBorders>
              <w:top w:val="nil"/>
              <w:left w:val="nil"/>
              <w:bottom w:val="nil"/>
              <w:right w:val="nil"/>
            </w:tcBorders>
            <w:shd w:val="clear" w:color="auto" w:fill="auto"/>
            <w:noWrap/>
            <w:hideMark/>
          </w:tcPr>
          <w:p w14:paraId="5ED8F5D9"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0.256</w:t>
            </w:r>
          </w:p>
        </w:tc>
        <w:tc>
          <w:tcPr>
            <w:tcW w:w="915" w:type="dxa"/>
            <w:tcBorders>
              <w:top w:val="nil"/>
              <w:left w:val="nil"/>
              <w:bottom w:val="nil"/>
              <w:right w:val="single" w:sz="4" w:space="0" w:color="auto"/>
            </w:tcBorders>
            <w:shd w:val="clear" w:color="auto" w:fill="auto"/>
            <w:noWrap/>
            <w:hideMark/>
          </w:tcPr>
          <w:p w14:paraId="445C734D"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1.013</w:t>
            </w:r>
          </w:p>
        </w:tc>
      </w:tr>
      <w:tr w:rsidR="00B33D62" w:rsidRPr="009D376C" w14:paraId="706C01CB" w14:textId="77777777" w:rsidTr="00B33D62">
        <w:trPr>
          <w:trHeight w:val="258"/>
        </w:trPr>
        <w:tc>
          <w:tcPr>
            <w:tcW w:w="1802" w:type="dxa"/>
            <w:tcBorders>
              <w:top w:val="nil"/>
              <w:left w:val="nil"/>
              <w:bottom w:val="nil"/>
              <w:right w:val="nil"/>
            </w:tcBorders>
            <w:shd w:val="clear" w:color="auto" w:fill="auto"/>
            <w:hideMark/>
          </w:tcPr>
          <w:p w14:paraId="4E620646"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p>
        </w:tc>
        <w:tc>
          <w:tcPr>
            <w:tcW w:w="914" w:type="dxa"/>
            <w:tcBorders>
              <w:top w:val="nil"/>
              <w:left w:val="nil"/>
              <w:bottom w:val="nil"/>
              <w:right w:val="nil"/>
            </w:tcBorders>
            <w:shd w:val="clear" w:color="auto" w:fill="auto"/>
            <w:noWrap/>
            <w:hideMark/>
          </w:tcPr>
          <w:p w14:paraId="21978F16"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c>
          <w:tcPr>
            <w:tcW w:w="914" w:type="dxa"/>
            <w:tcBorders>
              <w:top w:val="nil"/>
              <w:left w:val="nil"/>
              <w:bottom w:val="nil"/>
              <w:right w:val="nil"/>
            </w:tcBorders>
            <w:shd w:val="clear" w:color="auto" w:fill="auto"/>
            <w:noWrap/>
            <w:hideMark/>
          </w:tcPr>
          <w:p w14:paraId="4E5908CC" w14:textId="77777777" w:rsidR="00B33D62" w:rsidRPr="009D376C" w:rsidRDefault="00B33D62" w:rsidP="0019543A">
            <w:pPr>
              <w:spacing w:line="240" w:lineRule="auto"/>
              <w:jc w:val="right"/>
              <w:rPr>
                <w:rFonts w:asciiTheme="majorHAnsi" w:eastAsia="Times New Roman" w:hAnsiTheme="majorHAnsi" w:cstheme="majorHAnsi"/>
                <w:sz w:val="20"/>
                <w:szCs w:val="20"/>
                <w:lang w:eastAsia="fi-FI"/>
              </w:rPr>
            </w:pPr>
          </w:p>
        </w:tc>
        <w:tc>
          <w:tcPr>
            <w:tcW w:w="915" w:type="dxa"/>
            <w:tcBorders>
              <w:top w:val="nil"/>
              <w:left w:val="nil"/>
              <w:bottom w:val="nil"/>
              <w:right w:val="single" w:sz="4" w:space="0" w:color="auto"/>
            </w:tcBorders>
            <w:shd w:val="clear" w:color="auto" w:fill="auto"/>
            <w:noWrap/>
            <w:hideMark/>
          </w:tcPr>
          <w:p w14:paraId="48B350BA" w14:textId="77777777" w:rsidR="00B33D62" w:rsidRPr="009D376C" w:rsidRDefault="00B33D62" w:rsidP="0019543A">
            <w:pPr>
              <w:spacing w:line="240" w:lineRule="auto"/>
              <w:jc w:val="right"/>
              <w:rPr>
                <w:rFonts w:asciiTheme="majorHAnsi" w:eastAsia="Times New Roman" w:hAnsiTheme="majorHAnsi" w:cstheme="majorHAnsi"/>
                <w:sz w:val="20"/>
                <w:szCs w:val="20"/>
                <w:lang w:eastAsia="fi-FI"/>
              </w:rPr>
            </w:pPr>
          </w:p>
        </w:tc>
        <w:tc>
          <w:tcPr>
            <w:tcW w:w="914" w:type="dxa"/>
            <w:gridSpan w:val="2"/>
            <w:tcBorders>
              <w:top w:val="nil"/>
              <w:left w:val="single" w:sz="4" w:space="0" w:color="auto"/>
              <w:bottom w:val="nil"/>
              <w:right w:val="nil"/>
            </w:tcBorders>
            <w:shd w:val="clear" w:color="auto" w:fill="auto"/>
            <w:noWrap/>
            <w:hideMark/>
          </w:tcPr>
          <w:p w14:paraId="222CC883"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c>
          <w:tcPr>
            <w:tcW w:w="915" w:type="dxa"/>
            <w:tcBorders>
              <w:top w:val="nil"/>
              <w:left w:val="nil"/>
              <w:bottom w:val="nil"/>
              <w:right w:val="nil"/>
            </w:tcBorders>
            <w:shd w:val="clear" w:color="auto" w:fill="auto"/>
            <w:noWrap/>
            <w:hideMark/>
          </w:tcPr>
          <w:p w14:paraId="2B15145F"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c>
          <w:tcPr>
            <w:tcW w:w="914" w:type="dxa"/>
            <w:gridSpan w:val="2"/>
            <w:tcBorders>
              <w:top w:val="nil"/>
              <w:left w:val="nil"/>
              <w:bottom w:val="nil"/>
              <w:right w:val="single" w:sz="4" w:space="0" w:color="auto"/>
            </w:tcBorders>
            <w:shd w:val="clear" w:color="auto" w:fill="auto"/>
            <w:noWrap/>
            <w:hideMark/>
          </w:tcPr>
          <w:p w14:paraId="62BB3EA0"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c>
          <w:tcPr>
            <w:tcW w:w="915" w:type="dxa"/>
            <w:tcBorders>
              <w:top w:val="nil"/>
              <w:left w:val="single" w:sz="4" w:space="0" w:color="auto"/>
              <w:bottom w:val="nil"/>
              <w:right w:val="nil"/>
            </w:tcBorders>
            <w:shd w:val="clear" w:color="auto" w:fill="auto"/>
            <w:noWrap/>
            <w:hideMark/>
          </w:tcPr>
          <w:p w14:paraId="445E7038"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c>
          <w:tcPr>
            <w:tcW w:w="914" w:type="dxa"/>
            <w:tcBorders>
              <w:top w:val="nil"/>
              <w:left w:val="nil"/>
              <w:bottom w:val="nil"/>
              <w:right w:val="nil"/>
            </w:tcBorders>
            <w:shd w:val="clear" w:color="auto" w:fill="auto"/>
            <w:noWrap/>
            <w:hideMark/>
          </w:tcPr>
          <w:p w14:paraId="7603E3FD" w14:textId="77777777" w:rsidR="00B33D62" w:rsidRPr="009D376C" w:rsidRDefault="00B33D62" w:rsidP="0019543A">
            <w:pPr>
              <w:spacing w:line="240" w:lineRule="auto"/>
              <w:jc w:val="right"/>
              <w:rPr>
                <w:rFonts w:asciiTheme="majorHAnsi" w:eastAsia="Times New Roman" w:hAnsiTheme="majorHAnsi" w:cstheme="majorHAnsi"/>
                <w:sz w:val="20"/>
                <w:szCs w:val="20"/>
                <w:lang w:eastAsia="fi-FI"/>
              </w:rPr>
            </w:pPr>
          </w:p>
        </w:tc>
        <w:tc>
          <w:tcPr>
            <w:tcW w:w="915" w:type="dxa"/>
            <w:tcBorders>
              <w:top w:val="nil"/>
              <w:left w:val="nil"/>
              <w:bottom w:val="nil"/>
              <w:right w:val="single" w:sz="4" w:space="0" w:color="auto"/>
            </w:tcBorders>
            <w:shd w:val="clear" w:color="auto" w:fill="auto"/>
            <w:noWrap/>
            <w:hideMark/>
          </w:tcPr>
          <w:p w14:paraId="0E4E6456" w14:textId="77777777" w:rsidR="00B33D62" w:rsidRPr="009D376C" w:rsidRDefault="00B33D62" w:rsidP="0019543A">
            <w:pPr>
              <w:spacing w:line="240" w:lineRule="auto"/>
              <w:jc w:val="right"/>
              <w:rPr>
                <w:rFonts w:asciiTheme="majorHAnsi" w:eastAsia="Times New Roman" w:hAnsiTheme="majorHAnsi" w:cstheme="majorHAnsi"/>
                <w:sz w:val="20"/>
                <w:szCs w:val="20"/>
                <w:lang w:eastAsia="fi-FI"/>
              </w:rPr>
            </w:pPr>
          </w:p>
        </w:tc>
      </w:tr>
      <w:tr w:rsidR="00B33D62" w:rsidRPr="009D376C" w14:paraId="534EADE9" w14:textId="77777777" w:rsidTr="00B33D62">
        <w:trPr>
          <w:trHeight w:val="258"/>
        </w:trPr>
        <w:tc>
          <w:tcPr>
            <w:tcW w:w="1802" w:type="dxa"/>
            <w:tcBorders>
              <w:top w:val="nil"/>
              <w:left w:val="nil"/>
              <w:bottom w:val="nil"/>
              <w:right w:val="nil"/>
            </w:tcBorders>
            <w:shd w:val="clear" w:color="auto" w:fill="auto"/>
            <w:hideMark/>
          </w:tcPr>
          <w:p w14:paraId="7A8DBEAE"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Sex (=male)</w:t>
            </w:r>
          </w:p>
        </w:tc>
        <w:tc>
          <w:tcPr>
            <w:tcW w:w="914" w:type="dxa"/>
            <w:tcBorders>
              <w:top w:val="nil"/>
              <w:left w:val="nil"/>
              <w:bottom w:val="nil"/>
              <w:right w:val="nil"/>
            </w:tcBorders>
            <w:shd w:val="clear" w:color="auto" w:fill="auto"/>
            <w:noWrap/>
            <w:hideMark/>
          </w:tcPr>
          <w:p w14:paraId="2AD915D1"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-0.234***</w:t>
            </w:r>
          </w:p>
        </w:tc>
        <w:tc>
          <w:tcPr>
            <w:tcW w:w="914" w:type="dxa"/>
            <w:tcBorders>
              <w:top w:val="nil"/>
              <w:left w:val="nil"/>
              <w:bottom w:val="nil"/>
              <w:right w:val="nil"/>
            </w:tcBorders>
            <w:shd w:val="clear" w:color="auto" w:fill="auto"/>
            <w:noWrap/>
            <w:hideMark/>
          </w:tcPr>
          <w:p w14:paraId="6526CF76"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0.075</w:t>
            </w:r>
          </w:p>
        </w:tc>
        <w:tc>
          <w:tcPr>
            <w:tcW w:w="915" w:type="dxa"/>
            <w:tcBorders>
              <w:top w:val="nil"/>
              <w:left w:val="nil"/>
              <w:bottom w:val="nil"/>
              <w:right w:val="single" w:sz="4" w:space="0" w:color="auto"/>
            </w:tcBorders>
            <w:shd w:val="clear" w:color="auto" w:fill="auto"/>
            <w:noWrap/>
            <w:hideMark/>
          </w:tcPr>
          <w:p w14:paraId="1CF1C839"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0.791</w:t>
            </w:r>
          </w:p>
        </w:tc>
        <w:tc>
          <w:tcPr>
            <w:tcW w:w="914" w:type="dxa"/>
            <w:gridSpan w:val="2"/>
            <w:tcBorders>
              <w:top w:val="nil"/>
              <w:left w:val="single" w:sz="4" w:space="0" w:color="auto"/>
              <w:bottom w:val="nil"/>
              <w:right w:val="nil"/>
            </w:tcBorders>
            <w:shd w:val="clear" w:color="auto" w:fill="auto"/>
            <w:noWrap/>
            <w:hideMark/>
          </w:tcPr>
          <w:p w14:paraId="029AEAD5"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0.031</w:t>
            </w:r>
          </w:p>
        </w:tc>
        <w:tc>
          <w:tcPr>
            <w:tcW w:w="915" w:type="dxa"/>
            <w:tcBorders>
              <w:top w:val="nil"/>
              <w:left w:val="nil"/>
              <w:bottom w:val="nil"/>
              <w:right w:val="nil"/>
            </w:tcBorders>
            <w:shd w:val="clear" w:color="auto" w:fill="auto"/>
            <w:noWrap/>
            <w:hideMark/>
          </w:tcPr>
          <w:p w14:paraId="0C2FA2BB"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0.141</w:t>
            </w:r>
          </w:p>
        </w:tc>
        <w:tc>
          <w:tcPr>
            <w:tcW w:w="914" w:type="dxa"/>
            <w:gridSpan w:val="2"/>
            <w:tcBorders>
              <w:top w:val="nil"/>
              <w:left w:val="nil"/>
              <w:bottom w:val="nil"/>
              <w:right w:val="single" w:sz="4" w:space="0" w:color="auto"/>
            </w:tcBorders>
            <w:shd w:val="clear" w:color="auto" w:fill="auto"/>
            <w:noWrap/>
            <w:hideMark/>
          </w:tcPr>
          <w:p w14:paraId="1A82A001"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1.032</w:t>
            </w:r>
          </w:p>
        </w:tc>
        <w:tc>
          <w:tcPr>
            <w:tcW w:w="915" w:type="dxa"/>
            <w:tcBorders>
              <w:top w:val="nil"/>
              <w:left w:val="single" w:sz="4" w:space="0" w:color="auto"/>
              <w:bottom w:val="nil"/>
              <w:right w:val="nil"/>
            </w:tcBorders>
            <w:shd w:val="clear" w:color="auto" w:fill="auto"/>
            <w:noWrap/>
            <w:hideMark/>
          </w:tcPr>
          <w:p w14:paraId="2040F616"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-0.178</w:t>
            </w:r>
          </w:p>
        </w:tc>
        <w:tc>
          <w:tcPr>
            <w:tcW w:w="914" w:type="dxa"/>
            <w:tcBorders>
              <w:top w:val="nil"/>
              <w:left w:val="nil"/>
              <w:bottom w:val="nil"/>
              <w:right w:val="nil"/>
            </w:tcBorders>
            <w:shd w:val="clear" w:color="auto" w:fill="auto"/>
            <w:noWrap/>
            <w:hideMark/>
          </w:tcPr>
          <w:p w14:paraId="772D6944"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0.221</w:t>
            </w:r>
          </w:p>
        </w:tc>
        <w:tc>
          <w:tcPr>
            <w:tcW w:w="915" w:type="dxa"/>
            <w:tcBorders>
              <w:top w:val="nil"/>
              <w:left w:val="nil"/>
              <w:bottom w:val="nil"/>
              <w:right w:val="single" w:sz="4" w:space="0" w:color="auto"/>
            </w:tcBorders>
            <w:shd w:val="clear" w:color="auto" w:fill="auto"/>
            <w:noWrap/>
            <w:hideMark/>
          </w:tcPr>
          <w:p w14:paraId="242C51E6"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0.837</w:t>
            </w:r>
          </w:p>
        </w:tc>
      </w:tr>
      <w:tr w:rsidR="00B33D62" w:rsidRPr="009D376C" w14:paraId="43148509" w14:textId="77777777" w:rsidTr="00B33D62">
        <w:trPr>
          <w:trHeight w:val="258"/>
        </w:trPr>
        <w:tc>
          <w:tcPr>
            <w:tcW w:w="1802" w:type="dxa"/>
            <w:tcBorders>
              <w:top w:val="nil"/>
              <w:left w:val="nil"/>
              <w:bottom w:val="nil"/>
              <w:right w:val="nil"/>
            </w:tcBorders>
            <w:shd w:val="clear" w:color="auto" w:fill="auto"/>
            <w:hideMark/>
          </w:tcPr>
          <w:p w14:paraId="0C7296D2" w14:textId="77777777" w:rsidR="00B33D62" w:rsidRPr="009D376C" w:rsidRDefault="00B33D62" w:rsidP="0019543A">
            <w:pPr>
              <w:spacing w:line="240" w:lineRule="auto"/>
              <w:rPr>
                <w:rFonts w:asciiTheme="majorHAnsi" w:eastAsia="Times New Roman" w:hAnsiTheme="majorHAnsi" w:cstheme="majorHAnsi"/>
                <w:color w:val="000000"/>
                <w:sz w:val="20"/>
                <w:szCs w:val="20"/>
                <w:lang w:val="en-US" w:eastAsia="fi-FI"/>
              </w:rPr>
            </w:pPr>
            <w:r w:rsidRPr="009D376C">
              <w:rPr>
                <w:rFonts w:asciiTheme="majorHAnsi" w:eastAsia="Times New Roman" w:hAnsiTheme="majorHAnsi" w:cstheme="majorHAnsi"/>
                <w:color w:val="000000"/>
                <w:sz w:val="20"/>
                <w:szCs w:val="20"/>
                <w:lang w:val="en-US" w:eastAsia="fi-FI"/>
              </w:rPr>
              <w:t xml:space="preserve">Language other than </w:t>
            </w:r>
            <w:proofErr w:type="spellStart"/>
            <w:r w:rsidRPr="009D376C">
              <w:rPr>
                <w:rFonts w:asciiTheme="majorHAnsi" w:eastAsia="Times New Roman" w:hAnsiTheme="majorHAnsi" w:cstheme="majorHAnsi"/>
                <w:color w:val="000000"/>
                <w:sz w:val="20"/>
                <w:szCs w:val="20"/>
                <w:lang w:val="en-US" w:eastAsia="fi-FI"/>
              </w:rPr>
              <w:t>finnish</w:t>
            </w:r>
            <w:proofErr w:type="spellEnd"/>
            <w:r w:rsidRPr="009D376C">
              <w:rPr>
                <w:rFonts w:asciiTheme="majorHAnsi" w:eastAsia="Times New Roman" w:hAnsiTheme="majorHAnsi" w:cstheme="majorHAnsi"/>
                <w:color w:val="000000"/>
                <w:sz w:val="20"/>
                <w:szCs w:val="20"/>
                <w:lang w:val="en-US" w:eastAsia="fi-FI"/>
              </w:rPr>
              <w:t>/</w:t>
            </w:r>
            <w:proofErr w:type="spellStart"/>
            <w:r w:rsidRPr="009D376C">
              <w:rPr>
                <w:rFonts w:asciiTheme="majorHAnsi" w:eastAsia="Times New Roman" w:hAnsiTheme="majorHAnsi" w:cstheme="majorHAnsi"/>
                <w:color w:val="000000"/>
                <w:sz w:val="20"/>
                <w:szCs w:val="20"/>
                <w:lang w:val="en-US" w:eastAsia="fi-FI"/>
              </w:rPr>
              <w:t>swedish</w:t>
            </w:r>
            <w:proofErr w:type="spellEnd"/>
          </w:p>
          <w:p w14:paraId="23109B3B" w14:textId="77777777" w:rsidR="00B33D62" w:rsidRPr="009D376C" w:rsidRDefault="00B33D62" w:rsidP="0019543A">
            <w:pPr>
              <w:spacing w:line="240" w:lineRule="auto"/>
              <w:rPr>
                <w:rFonts w:asciiTheme="majorHAnsi" w:eastAsia="Times New Roman" w:hAnsiTheme="majorHAnsi" w:cstheme="majorHAnsi"/>
                <w:color w:val="000000"/>
                <w:sz w:val="20"/>
                <w:szCs w:val="20"/>
                <w:lang w:val="en-US" w:eastAsia="fi-FI"/>
              </w:rPr>
            </w:pPr>
            <w:r w:rsidRPr="009D376C">
              <w:rPr>
                <w:rFonts w:asciiTheme="majorHAnsi" w:eastAsia="Times New Roman" w:hAnsiTheme="majorHAnsi" w:cstheme="majorHAnsi"/>
                <w:color w:val="000000"/>
                <w:sz w:val="20"/>
                <w:szCs w:val="20"/>
                <w:lang w:val="en-US" w:eastAsia="fi-FI"/>
              </w:rPr>
              <w:t>(=yes)</w:t>
            </w:r>
          </w:p>
        </w:tc>
        <w:tc>
          <w:tcPr>
            <w:tcW w:w="914" w:type="dxa"/>
            <w:tcBorders>
              <w:top w:val="nil"/>
              <w:left w:val="nil"/>
              <w:bottom w:val="nil"/>
              <w:right w:val="nil"/>
            </w:tcBorders>
            <w:shd w:val="clear" w:color="auto" w:fill="auto"/>
            <w:noWrap/>
            <w:hideMark/>
          </w:tcPr>
          <w:p w14:paraId="4F1FEEF7"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-0.466***</w:t>
            </w:r>
          </w:p>
        </w:tc>
        <w:tc>
          <w:tcPr>
            <w:tcW w:w="914" w:type="dxa"/>
            <w:tcBorders>
              <w:top w:val="nil"/>
              <w:left w:val="nil"/>
              <w:bottom w:val="nil"/>
              <w:right w:val="nil"/>
            </w:tcBorders>
            <w:shd w:val="clear" w:color="auto" w:fill="auto"/>
            <w:noWrap/>
            <w:hideMark/>
          </w:tcPr>
          <w:p w14:paraId="171F4CFB"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0.125</w:t>
            </w:r>
          </w:p>
        </w:tc>
        <w:tc>
          <w:tcPr>
            <w:tcW w:w="915" w:type="dxa"/>
            <w:tcBorders>
              <w:top w:val="nil"/>
              <w:left w:val="nil"/>
              <w:bottom w:val="nil"/>
              <w:right w:val="single" w:sz="4" w:space="0" w:color="auto"/>
            </w:tcBorders>
            <w:shd w:val="clear" w:color="auto" w:fill="auto"/>
            <w:noWrap/>
            <w:hideMark/>
          </w:tcPr>
          <w:p w14:paraId="26D8E518"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0.628</w:t>
            </w:r>
          </w:p>
        </w:tc>
        <w:tc>
          <w:tcPr>
            <w:tcW w:w="914" w:type="dxa"/>
            <w:gridSpan w:val="2"/>
            <w:tcBorders>
              <w:top w:val="nil"/>
              <w:left w:val="single" w:sz="4" w:space="0" w:color="auto"/>
              <w:bottom w:val="nil"/>
              <w:right w:val="nil"/>
            </w:tcBorders>
            <w:shd w:val="clear" w:color="auto" w:fill="auto"/>
            <w:noWrap/>
            <w:hideMark/>
          </w:tcPr>
          <w:p w14:paraId="69D98E20"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-0.108</w:t>
            </w:r>
          </w:p>
        </w:tc>
        <w:tc>
          <w:tcPr>
            <w:tcW w:w="915" w:type="dxa"/>
            <w:tcBorders>
              <w:top w:val="nil"/>
              <w:left w:val="nil"/>
              <w:bottom w:val="nil"/>
              <w:right w:val="nil"/>
            </w:tcBorders>
            <w:shd w:val="clear" w:color="auto" w:fill="auto"/>
            <w:noWrap/>
            <w:hideMark/>
          </w:tcPr>
          <w:p w14:paraId="5A2E5B9B"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0.253</w:t>
            </w:r>
          </w:p>
        </w:tc>
        <w:tc>
          <w:tcPr>
            <w:tcW w:w="914" w:type="dxa"/>
            <w:gridSpan w:val="2"/>
            <w:tcBorders>
              <w:top w:val="nil"/>
              <w:left w:val="nil"/>
              <w:bottom w:val="nil"/>
              <w:right w:val="single" w:sz="4" w:space="0" w:color="auto"/>
            </w:tcBorders>
            <w:shd w:val="clear" w:color="auto" w:fill="auto"/>
            <w:noWrap/>
            <w:hideMark/>
          </w:tcPr>
          <w:p w14:paraId="3F7D3E6C"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0.897</w:t>
            </w:r>
          </w:p>
        </w:tc>
        <w:tc>
          <w:tcPr>
            <w:tcW w:w="915" w:type="dxa"/>
            <w:tcBorders>
              <w:top w:val="nil"/>
              <w:left w:val="single" w:sz="4" w:space="0" w:color="auto"/>
              <w:bottom w:val="nil"/>
              <w:right w:val="nil"/>
            </w:tcBorders>
            <w:shd w:val="clear" w:color="auto" w:fill="auto"/>
            <w:noWrap/>
            <w:hideMark/>
          </w:tcPr>
          <w:p w14:paraId="42D08B67"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-0.579†</w:t>
            </w:r>
          </w:p>
        </w:tc>
        <w:tc>
          <w:tcPr>
            <w:tcW w:w="914" w:type="dxa"/>
            <w:tcBorders>
              <w:top w:val="nil"/>
              <w:left w:val="nil"/>
              <w:bottom w:val="nil"/>
              <w:right w:val="nil"/>
            </w:tcBorders>
            <w:shd w:val="clear" w:color="auto" w:fill="auto"/>
            <w:noWrap/>
            <w:hideMark/>
          </w:tcPr>
          <w:p w14:paraId="5580C3E9"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0.341</w:t>
            </w:r>
          </w:p>
        </w:tc>
        <w:tc>
          <w:tcPr>
            <w:tcW w:w="915" w:type="dxa"/>
            <w:tcBorders>
              <w:top w:val="nil"/>
              <w:left w:val="nil"/>
              <w:bottom w:val="nil"/>
              <w:right w:val="single" w:sz="4" w:space="0" w:color="auto"/>
            </w:tcBorders>
            <w:shd w:val="clear" w:color="auto" w:fill="auto"/>
            <w:noWrap/>
            <w:hideMark/>
          </w:tcPr>
          <w:p w14:paraId="47E8A526"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0.561</w:t>
            </w:r>
          </w:p>
        </w:tc>
      </w:tr>
      <w:tr w:rsidR="00B33D62" w:rsidRPr="009D376C" w14:paraId="789059BB" w14:textId="77777777" w:rsidTr="00B33D62">
        <w:trPr>
          <w:trHeight w:val="314"/>
        </w:trPr>
        <w:tc>
          <w:tcPr>
            <w:tcW w:w="1802" w:type="dxa"/>
            <w:tcBorders>
              <w:top w:val="nil"/>
              <w:left w:val="nil"/>
              <w:bottom w:val="nil"/>
              <w:right w:val="nil"/>
            </w:tcBorders>
            <w:shd w:val="clear" w:color="auto" w:fill="auto"/>
            <w:hideMark/>
          </w:tcPr>
          <w:p w14:paraId="05408922"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Age group (vs. &lt;45)</w:t>
            </w:r>
          </w:p>
        </w:tc>
        <w:tc>
          <w:tcPr>
            <w:tcW w:w="914" w:type="dxa"/>
            <w:tcBorders>
              <w:top w:val="nil"/>
              <w:left w:val="nil"/>
              <w:bottom w:val="nil"/>
              <w:right w:val="nil"/>
            </w:tcBorders>
            <w:shd w:val="clear" w:color="auto" w:fill="auto"/>
            <w:noWrap/>
            <w:hideMark/>
          </w:tcPr>
          <w:p w14:paraId="17D98F2F"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p>
        </w:tc>
        <w:tc>
          <w:tcPr>
            <w:tcW w:w="914" w:type="dxa"/>
            <w:tcBorders>
              <w:top w:val="nil"/>
              <w:left w:val="nil"/>
              <w:bottom w:val="nil"/>
              <w:right w:val="nil"/>
            </w:tcBorders>
            <w:shd w:val="clear" w:color="auto" w:fill="auto"/>
            <w:noWrap/>
            <w:hideMark/>
          </w:tcPr>
          <w:p w14:paraId="1056A989" w14:textId="77777777" w:rsidR="00B33D62" w:rsidRPr="009D376C" w:rsidRDefault="00B33D62" w:rsidP="0019543A">
            <w:pPr>
              <w:spacing w:line="240" w:lineRule="auto"/>
              <w:jc w:val="right"/>
              <w:rPr>
                <w:rFonts w:asciiTheme="majorHAnsi" w:eastAsia="Times New Roman" w:hAnsiTheme="majorHAnsi" w:cstheme="majorHAnsi"/>
                <w:sz w:val="20"/>
                <w:szCs w:val="20"/>
                <w:lang w:eastAsia="fi-FI"/>
              </w:rPr>
            </w:pPr>
          </w:p>
        </w:tc>
        <w:tc>
          <w:tcPr>
            <w:tcW w:w="915" w:type="dxa"/>
            <w:tcBorders>
              <w:top w:val="nil"/>
              <w:left w:val="nil"/>
              <w:bottom w:val="nil"/>
              <w:right w:val="single" w:sz="4" w:space="0" w:color="auto"/>
            </w:tcBorders>
            <w:shd w:val="clear" w:color="auto" w:fill="auto"/>
            <w:noWrap/>
            <w:hideMark/>
          </w:tcPr>
          <w:p w14:paraId="67B2ADBB" w14:textId="77777777" w:rsidR="00B33D62" w:rsidRPr="009D376C" w:rsidRDefault="00B33D62" w:rsidP="0019543A">
            <w:pPr>
              <w:spacing w:line="240" w:lineRule="auto"/>
              <w:jc w:val="right"/>
              <w:rPr>
                <w:rFonts w:asciiTheme="majorHAnsi" w:eastAsia="Times New Roman" w:hAnsiTheme="majorHAnsi" w:cstheme="majorHAnsi"/>
                <w:sz w:val="20"/>
                <w:szCs w:val="20"/>
                <w:lang w:eastAsia="fi-FI"/>
              </w:rPr>
            </w:pPr>
          </w:p>
        </w:tc>
        <w:tc>
          <w:tcPr>
            <w:tcW w:w="914" w:type="dxa"/>
            <w:gridSpan w:val="2"/>
            <w:tcBorders>
              <w:top w:val="nil"/>
              <w:left w:val="single" w:sz="4" w:space="0" w:color="auto"/>
              <w:bottom w:val="nil"/>
              <w:right w:val="nil"/>
            </w:tcBorders>
            <w:shd w:val="clear" w:color="auto" w:fill="auto"/>
            <w:noWrap/>
            <w:hideMark/>
          </w:tcPr>
          <w:p w14:paraId="4CBFCB48"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c>
          <w:tcPr>
            <w:tcW w:w="915" w:type="dxa"/>
            <w:tcBorders>
              <w:top w:val="nil"/>
              <w:left w:val="nil"/>
              <w:bottom w:val="nil"/>
              <w:right w:val="nil"/>
            </w:tcBorders>
            <w:shd w:val="clear" w:color="auto" w:fill="auto"/>
            <w:noWrap/>
            <w:hideMark/>
          </w:tcPr>
          <w:p w14:paraId="74E655A8"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c>
          <w:tcPr>
            <w:tcW w:w="914" w:type="dxa"/>
            <w:gridSpan w:val="2"/>
            <w:tcBorders>
              <w:top w:val="nil"/>
              <w:left w:val="nil"/>
              <w:bottom w:val="nil"/>
              <w:right w:val="single" w:sz="4" w:space="0" w:color="auto"/>
            </w:tcBorders>
            <w:shd w:val="clear" w:color="auto" w:fill="auto"/>
            <w:noWrap/>
            <w:hideMark/>
          </w:tcPr>
          <w:p w14:paraId="4370F954"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c>
          <w:tcPr>
            <w:tcW w:w="915" w:type="dxa"/>
            <w:tcBorders>
              <w:top w:val="nil"/>
              <w:left w:val="single" w:sz="4" w:space="0" w:color="auto"/>
              <w:bottom w:val="nil"/>
              <w:right w:val="nil"/>
            </w:tcBorders>
            <w:shd w:val="clear" w:color="auto" w:fill="auto"/>
            <w:noWrap/>
            <w:hideMark/>
          </w:tcPr>
          <w:p w14:paraId="6019E98D"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c>
          <w:tcPr>
            <w:tcW w:w="914" w:type="dxa"/>
            <w:tcBorders>
              <w:top w:val="nil"/>
              <w:left w:val="nil"/>
              <w:bottom w:val="nil"/>
              <w:right w:val="nil"/>
            </w:tcBorders>
            <w:shd w:val="clear" w:color="auto" w:fill="auto"/>
            <w:noWrap/>
            <w:hideMark/>
          </w:tcPr>
          <w:p w14:paraId="5D219E7D" w14:textId="77777777" w:rsidR="00B33D62" w:rsidRPr="009D376C" w:rsidRDefault="00B33D62" w:rsidP="0019543A">
            <w:pPr>
              <w:spacing w:line="240" w:lineRule="auto"/>
              <w:jc w:val="right"/>
              <w:rPr>
                <w:rFonts w:asciiTheme="majorHAnsi" w:eastAsia="Times New Roman" w:hAnsiTheme="majorHAnsi" w:cstheme="majorHAnsi"/>
                <w:sz w:val="20"/>
                <w:szCs w:val="20"/>
                <w:lang w:eastAsia="fi-FI"/>
              </w:rPr>
            </w:pPr>
          </w:p>
        </w:tc>
        <w:tc>
          <w:tcPr>
            <w:tcW w:w="915" w:type="dxa"/>
            <w:tcBorders>
              <w:top w:val="nil"/>
              <w:left w:val="nil"/>
              <w:bottom w:val="nil"/>
              <w:right w:val="single" w:sz="4" w:space="0" w:color="auto"/>
            </w:tcBorders>
            <w:shd w:val="clear" w:color="auto" w:fill="auto"/>
            <w:noWrap/>
            <w:hideMark/>
          </w:tcPr>
          <w:p w14:paraId="6DC9FA33" w14:textId="77777777" w:rsidR="00B33D62" w:rsidRPr="009D376C" w:rsidRDefault="00B33D62" w:rsidP="0019543A">
            <w:pPr>
              <w:spacing w:line="240" w:lineRule="auto"/>
              <w:jc w:val="right"/>
              <w:rPr>
                <w:rFonts w:asciiTheme="majorHAnsi" w:eastAsia="Times New Roman" w:hAnsiTheme="majorHAnsi" w:cstheme="majorHAnsi"/>
                <w:sz w:val="20"/>
                <w:szCs w:val="20"/>
                <w:lang w:eastAsia="fi-FI"/>
              </w:rPr>
            </w:pPr>
          </w:p>
        </w:tc>
      </w:tr>
      <w:tr w:rsidR="00B33D62" w:rsidRPr="009D376C" w14:paraId="638E565D" w14:textId="77777777" w:rsidTr="00B33D62">
        <w:trPr>
          <w:trHeight w:val="258"/>
        </w:trPr>
        <w:tc>
          <w:tcPr>
            <w:tcW w:w="1802" w:type="dxa"/>
            <w:tcBorders>
              <w:top w:val="nil"/>
              <w:left w:val="nil"/>
              <w:bottom w:val="nil"/>
              <w:right w:val="nil"/>
            </w:tcBorders>
            <w:shd w:val="clear" w:color="auto" w:fill="auto"/>
            <w:hideMark/>
          </w:tcPr>
          <w:p w14:paraId="54CF47A7"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45-64</w:t>
            </w:r>
          </w:p>
        </w:tc>
        <w:tc>
          <w:tcPr>
            <w:tcW w:w="914" w:type="dxa"/>
            <w:tcBorders>
              <w:top w:val="nil"/>
              <w:left w:val="nil"/>
              <w:bottom w:val="nil"/>
              <w:right w:val="nil"/>
            </w:tcBorders>
            <w:shd w:val="clear" w:color="auto" w:fill="auto"/>
            <w:noWrap/>
            <w:hideMark/>
          </w:tcPr>
          <w:p w14:paraId="2EFCC116"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0.110</w:t>
            </w:r>
          </w:p>
        </w:tc>
        <w:tc>
          <w:tcPr>
            <w:tcW w:w="914" w:type="dxa"/>
            <w:tcBorders>
              <w:top w:val="nil"/>
              <w:left w:val="nil"/>
              <w:bottom w:val="nil"/>
              <w:right w:val="nil"/>
            </w:tcBorders>
            <w:shd w:val="clear" w:color="auto" w:fill="auto"/>
            <w:noWrap/>
            <w:hideMark/>
          </w:tcPr>
          <w:p w14:paraId="318846A7"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0.089</w:t>
            </w:r>
          </w:p>
        </w:tc>
        <w:tc>
          <w:tcPr>
            <w:tcW w:w="915" w:type="dxa"/>
            <w:tcBorders>
              <w:top w:val="nil"/>
              <w:left w:val="nil"/>
              <w:bottom w:val="nil"/>
              <w:right w:val="single" w:sz="4" w:space="0" w:color="auto"/>
            </w:tcBorders>
            <w:shd w:val="clear" w:color="auto" w:fill="auto"/>
            <w:noWrap/>
            <w:hideMark/>
          </w:tcPr>
          <w:p w14:paraId="540B5074"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1.116</w:t>
            </w:r>
          </w:p>
        </w:tc>
        <w:tc>
          <w:tcPr>
            <w:tcW w:w="914" w:type="dxa"/>
            <w:gridSpan w:val="2"/>
            <w:tcBorders>
              <w:top w:val="nil"/>
              <w:left w:val="single" w:sz="4" w:space="0" w:color="auto"/>
              <w:bottom w:val="nil"/>
              <w:right w:val="nil"/>
            </w:tcBorders>
            <w:shd w:val="clear" w:color="auto" w:fill="auto"/>
            <w:noWrap/>
            <w:hideMark/>
          </w:tcPr>
          <w:p w14:paraId="511A5F89"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-0.992</w:t>
            </w:r>
          </w:p>
        </w:tc>
        <w:tc>
          <w:tcPr>
            <w:tcW w:w="915" w:type="dxa"/>
            <w:tcBorders>
              <w:top w:val="nil"/>
              <w:left w:val="nil"/>
              <w:bottom w:val="nil"/>
              <w:right w:val="nil"/>
            </w:tcBorders>
            <w:shd w:val="clear" w:color="auto" w:fill="auto"/>
            <w:noWrap/>
            <w:hideMark/>
          </w:tcPr>
          <w:p w14:paraId="7BCFEC19"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0.173</w:t>
            </w:r>
          </w:p>
        </w:tc>
        <w:tc>
          <w:tcPr>
            <w:tcW w:w="914" w:type="dxa"/>
            <w:gridSpan w:val="2"/>
            <w:tcBorders>
              <w:top w:val="nil"/>
              <w:left w:val="nil"/>
              <w:bottom w:val="nil"/>
              <w:right w:val="single" w:sz="4" w:space="0" w:color="auto"/>
            </w:tcBorders>
            <w:shd w:val="clear" w:color="auto" w:fill="auto"/>
            <w:noWrap/>
            <w:hideMark/>
          </w:tcPr>
          <w:p w14:paraId="72A17969"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0.371</w:t>
            </w:r>
          </w:p>
        </w:tc>
        <w:tc>
          <w:tcPr>
            <w:tcW w:w="915" w:type="dxa"/>
            <w:tcBorders>
              <w:top w:val="nil"/>
              <w:left w:val="single" w:sz="4" w:space="0" w:color="auto"/>
              <w:bottom w:val="nil"/>
              <w:right w:val="nil"/>
            </w:tcBorders>
            <w:shd w:val="clear" w:color="auto" w:fill="auto"/>
            <w:noWrap/>
            <w:hideMark/>
          </w:tcPr>
          <w:p w14:paraId="37BB9493"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-0.151</w:t>
            </w:r>
          </w:p>
        </w:tc>
        <w:tc>
          <w:tcPr>
            <w:tcW w:w="914" w:type="dxa"/>
            <w:tcBorders>
              <w:top w:val="nil"/>
              <w:left w:val="nil"/>
              <w:bottom w:val="nil"/>
              <w:right w:val="nil"/>
            </w:tcBorders>
            <w:shd w:val="clear" w:color="auto" w:fill="auto"/>
            <w:noWrap/>
            <w:hideMark/>
          </w:tcPr>
          <w:p w14:paraId="323FA6BE"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0.256</w:t>
            </w:r>
          </w:p>
        </w:tc>
        <w:tc>
          <w:tcPr>
            <w:tcW w:w="915" w:type="dxa"/>
            <w:tcBorders>
              <w:top w:val="nil"/>
              <w:left w:val="nil"/>
              <w:bottom w:val="nil"/>
              <w:right w:val="single" w:sz="4" w:space="0" w:color="auto"/>
            </w:tcBorders>
            <w:shd w:val="clear" w:color="auto" w:fill="auto"/>
            <w:noWrap/>
            <w:hideMark/>
          </w:tcPr>
          <w:p w14:paraId="4EEC8A9C"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0.860</w:t>
            </w:r>
          </w:p>
        </w:tc>
      </w:tr>
      <w:tr w:rsidR="00B33D62" w:rsidRPr="009D376C" w14:paraId="54412F44" w14:textId="77777777" w:rsidTr="00B33D62">
        <w:trPr>
          <w:trHeight w:val="258"/>
        </w:trPr>
        <w:tc>
          <w:tcPr>
            <w:tcW w:w="1802" w:type="dxa"/>
            <w:tcBorders>
              <w:top w:val="nil"/>
              <w:left w:val="nil"/>
              <w:bottom w:val="nil"/>
              <w:right w:val="nil"/>
            </w:tcBorders>
            <w:shd w:val="clear" w:color="auto" w:fill="auto"/>
            <w:hideMark/>
          </w:tcPr>
          <w:p w14:paraId="669429DD"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&gt;65</w:t>
            </w:r>
          </w:p>
        </w:tc>
        <w:tc>
          <w:tcPr>
            <w:tcW w:w="914" w:type="dxa"/>
            <w:tcBorders>
              <w:top w:val="nil"/>
              <w:left w:val="nil"/>
              <w:bottom w:val="nil"/>
              <w:right w:val="nil"/>
            </w:tcBorders>
            <w:shd w:val="clear" w:color="auto" w:fill="auto"/>
            <w:noWrap/>
            <w:hideMark/>
          </w:tcPr>
          <w:p w14:paraId="5D16FBB2"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0.511***</w:t>
            </w:r>
          </w:p>
        </w:tc>
        <w:tc>
          <w:tcPr>
            <w:tcW w:w="914" w:type="dxa"/>
            <w:tcBorders>
              <w:top w:val="nil"/>
              <w:left w:val="nil"/>
              <w:bottom w:val="nil"/>
              <w:right w:val="nil"/>
            </w:tcBorders>
            <w:shd w:val="clear" w:color="auto" w:fill="auto"/>
            <w:noWrap/>
            <w:hideMark/>
          </w:tcPr>
          <w:p w14:paraId="55C2B188"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0.117</w:t>
            </w:r>
          </w:p>
        </w:tc>
        <w:tc>
          <w:tcPr>
            <w:tcW w:w="915" w:type="dxa"/>
            <w:tcBorders>
              <w:top w:val="nil"/>
              <w:left w:val="nil"/>
              <w:bottom w:val="nil"/>
              <w:right w:val="single" w:sz="4" w:space="0" w:color="auto"/>
            </w:tcBorders>
            <w:shd w:val="clear" w:color="auto" w:fill="auto"/>
            <w:noWrap/>
            <w:hideMark/>
          </w:tcPr>
          <w:p w14:paraId="29218E64"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1.667</w:t>
            </w:r>
          </w:p>
        </w:tc>
        <w:tc>
          <w:tcPr>
            <w:tcW w:w="914" w:type="dxa"/>
            <w:gridSpan w:val="2"/>
            <w:tcBorders>
              <w:top w:val="nil"/>
              <w:left w:val="single" w:sz="4" w:space="0" w:color="auto"/>
              <w:bottom w:val="nil"/>
              <w:right w:val="nil"/>
            </w:tcBorders>
            <w:shd w:val="clear" w:color="auto" w:fill="auto"/>
            <w:noWrap/>
            <w:hideMark/>
          </w:tcPr>
          <w:p w14:paraId="07605FF5"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-1.211***</w:t>
            </w:r>
          </w:p>
        </w:tc>
        <w:tc>
          <w:tcPr>
            <w:tcW w:w="915" w:type="dxa"/>
            <w:tcBorders>
              <w:top w:val="nil"/>
              <w:left w:val="nil"/>
              <w:bottom w:val="nil"/>
              <w:right w:val="nil"/>
            </w:tcBorders>
            <w:shd w:val="clear" w:color="auto" w:fill="auto"/>
            <w:noWrap/>
            <w:hideMark/>
          </w:tcPr>
          <w:p w14:paraId="174DF460"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0.199</w:t>
            </w:r>
          </w:p>
        </w:tc>
        <w:tc>
          <w:tcPr>
            <w:tcW w:w="914" w:type="dxa"/>
            <w:gridSpan w:val="2"/>
            <w:tcBorders>
              <w:top w:val="nil"/>
              <w:left w:val="nil"/>
              <w:bottom w:val="nil"/>
              <w:right w:val="single" w:sz="4" w:space="0" w:color="auto"/>
            </w:tcBorders>
            <w:shd w:val="clear" w:color="auto" w:fill="auto"/>
            <w:noWrap/>
            <w:hideMark/>
          </w:tcPr>
          <w:p w14:paraId="24A4CD76"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0.298</w:t>
            </w:r>
          </w:p>
        </w:tc>
        <w:tc>
          <w:tcPr>
            <w:tcW w:w="915" w:type="dxa"/>
            <w:tcBorders>
              <w:top w:val="nil"/>
              <w:left w:val="single" w:sz="4" w:space="0" w:color="auto"/>
              <w:bottom w:val="nil"/>
              <w:right w:val="nil"/>
            </w:tcBorders>
            <w:shd w:val="clear" w:color="auto" w:fill="auto"/>
            <w:noWrap/>
            <w:hideMark/>
          </w:tcPr>
          <w:p w14:paraId="616ADF63"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-0.572†</w:t>
            </w:r>
          </w:p>
        </w:tc>
        <w:tc>
          <w:tcPr>
            <w:tcW w:w="914" w:type="dxa"/>
            <w:tcBorders>
              <w:top w:val="nil"/>
              <w:left w:val="nil"/>
              <w:bottom w:val="nil"/>
              <w:right w:val="nil"/>
            </w:tcBorders>
            <w:shd w:val="clear" w:color="auto" w:fill="auto"/>
            <w:noWrap/>
            <w:hideMark/>
          </w:tcPr>
          <w:p w14:paraId="5C08C9A8"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0.345</w:t>
            </w:r>
          </w:p>
        </w:tc>
        <w:tc>
          <w:tcPr>
            <w:tcW w:w="915" w:type="dxa"/>
            <w:tcBorders>
              <w:top w:val="nil"/>
              <w:left w:val="nil"/>
              <w:bottom w:val="nil"/>
              <w:right w:val="single" w:sz="4" w:space="0" w:color="auto"/>
            </w:tcBorders>
            <w:shd w:val="clear" w:color="auto" w:fill="auto"/>
            <w:noWrap/>
            <w:hideMark/>
          </w:tcPr>
          <w:p w14:paraId="582D1310"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0.564</w:t>
            </w:r>
          </w:p>
        </w:tc>
      </w:tr>
      <w:tr w:rsidR="00B33D62" w:rsidRPr="009D376C" w14:paraId="120285EC" w14:textId="77777777" w:rsidTr="00B33D62">
        <w:trPr>
          <w:trHeight w:val="494"/>
        </w:trPr>
        <w:tc>
          <w:tcPr>
            <w:tcW w:w="1802" w:type="dxa"/>
            <w:tcBorders>
              <w:top w:val="nil"/>
              <w:left w:val="nil"/>
              <w:bottom w:val="nil"/>
              <w:right w:val="nil"/>
            </w:tcBorders>
            <w:shd w:val="clear" w:color="auto" w:fill="auto"/>
            <w:hideMark/>
          </w:tcPr>
          <w:p w14:paraId="63BF3777" w14:textId="77777777" w:rsidR="00B33D62" w:rsidRPr="009D376C" w:rsidRDefault="00B33D62" w:rsidP="0019543A">
            <w:pPr>
              <w:spacing w:line="240" w:lineRule="auto"/>
              <w:rPr>
                <w:rFonts w:asciiTheme="majorHAnsi" w:eastAsia="Times New Roman" w:hAnsiTheme="majorHAnsi" w:cstheme="majorHAnsi"/>
                <w:b/>
                <w:color w:val="000000"/>
                <w:sz w:val="20"/>
                <w:szCs w:val="20"/>
                <w:lang w:val="en-US" w:eastAsia="fi-FI"/>
              </w:rPr>
            </w:pPr>
            <w:r w:rsidRPr="009D376C">
              <w:rPr>
                <w:rFonts w:asciiTheme="majorHAnsi" w:eastAsia="Times New Roman" w:hAnsiTheme="majorHAnsi" w:cstheme="majorHAnsi"/>
                <w:b/>
                <w:color w:val="000000"/>
                <w:sz w:val="20"/>
                <w:szCs w:val="20"/>
                <w:lang w:val="en-US" w:eastAsia="fi-FI"/>
              </w:rPr>
              <w:t>Education (vs. ISCED 1-2 or unknown education)</w:t>
            </w:r>
          </w:p>
        </w:tc>
        <w:tc>
          <w:tcPr>
            <w:tcW w:w="914" w:type="dxa"/>
            <w:tcBorders>
              <w:top w:val="nil"/>
              <w:left w:val="nil"/>
              <w:bottom w:val="nil"/>
              <w:right w:val="nil"/>
            </w:tcBorders>
            <w:shd w:val="clear" w:color="auto" w:fill="auto"/>
            <w:noWrap/>
            <w:hideMark/>
          </w:tcPr>
          <w:p w14:paraId="39BFC26C" w14:textId="77777777" w:rsidR="00B33D62" w:rsidRPr="009D376C" w:rsidRDefault="00B33D62" w:rsidP="0019543A">
            <w:pPr>
              <w:spacing w:line="240" w:lineRule="auto"/>
              <w:rPr>
                <w:rFonts w:asciiTheme="majorHAnsi" w:eastAsia="Times New Roman" w:hAnsiTheme="majorHAnsi" w:cstheme="majorHAnsi"/>
                <w:color w:val="000000"/>
                <w:sz w:val="20"/>
                <w:szCs w:val="20"/>
                <w:lang w:val="en-US" w:eastAsia="fi-FI"/>
              </w:rPr>
            </w:pPr>
          </w:p>
        </w:tc>
        <w:tc>
          <w:tcPr>
            <w:tcW w:w="914" w:type="dxa"/>
            <w:tcBorders>
              <w:top w:val="nil"/>
              <w:left w:val="nil"/>
              <w:bottom w:val="nil"/>
              <w:right w:val="nil"/>
            </w:tcBorders>
            <w:shd w:val="clear" w:color="auto" w:fill="auto"/>
            <w:noWrap/>
            <w:hideMark/>
          </w:tcPr>
          <w:p w14:paraId="0C927C2F" w14:textId="77777777" w:rsidR="00B33D62" w:rsidRPr="009D376C" w:rsidRDefault="00B33D62" w:rsidP="0019543A">
            <w:pPr>
              <w:spacing w:line="240" w:lineRule="auto"/>
              <w:jc w:val="right"/>
              <w:rPr>
                <w:rFonts w:asciiTheme="majorHAnsi" w:eastAsia="Times New Roman" w:hAnsiTheme="majorHAnsi" w:cstheme="majorHAnsi"/>
                <w:sz w:val="20"/>
                <w:szCs w:val="20"/>
                <w:lang w:val="en-US" w:eastAsia="fi-FI"/>
              </w:rPr>
            </w:pPr>
          </w:p>
        </w:tc>
        <w:tc>
          <w:tcPr>
            <w:tcW w:w="915" w:type="dxa"/>
            <w:tcBorders>
              <w:top w:val="nil"/>
              <w:left w:val="nil"/>
              <w:bottom w:val="nil"/>
              <w:right w:val="single" w:sz="4" w:space="0" w:color="auto"/>
            </w:tcBorders>
            <w:shd w:val="clear" w:color="auto" w:fill="auto"/>
            <w:noWrap/>
            <w:hideMark/>
          </w:tcPr>
          <w:p w14:paraId="6AB2CD78" w14:textId="77777777" w:rsidR="00B33D62" w:rsidRPr="009D376C" w:rsidRDefault="00B33D62" w:rsidP="0019543A">
            <w:pPr>
              <w:spacing w:line="240" w:lineRule="auto"/>
              <w:jc w:val="right"/>
              <w:rPr>
                <w:rFonts w:asciiTheme="majorHAnsi" w:eastAsia="Times New Roman" w:hAnsiTheme="majorHAnsi" w:cstheme="majorHAnsi"/>
                <w:sz w:val="20"/>
                <w:szCs w:val="20"/>
                <w:lang w:val="en-US" w:eastAsia="fi-FI"/>
              </w:rPr>
            </w:pPr>
          </w:p>
        </w:tc>
        <w:tc>
          <w:tcPr>
            <w:tcW w:w="914" w:type="dxa"/>
            <w:gridSpan w:val="2"/>
            <w:tcBorders>
              <w:top w:val="nil"/>
              <w:left w:val="single" w:sz="4" w:space="0" w:color="auto"/>
              <w:bottom w:val="nil"/>
              <w:right w:val="nil"/>
            </w:tcBorders>
            <w:shd w:val="clear" w:color="auto" w:fill="auto"/>
            <w:noWrap/>
            <w:hideMark/>
          </w:tcPr>
          <w:p w14:paraId="68816FD9" w14:textId="77777777" w:rsidR="00B33D62" w:rsidRPr="009D376C" w:rsidRDefault="00B33D62" w:rsidP="0019543A">
            <w:pPr>
              <w:spacing w:line="240" w:lineRule="auto"/>
              <w:rPr>
                <w:rFonts w:asciiTheme="majorHAnsi" w:eastAsia="Times New Roman" w:hAnsiTheme="majorHAnsi" w:cstheme="majorHAnsi"/>
                <w:sz w:val="20"/>
                <w:szCs w:val="20"/>
                <w:lang w:val="en-US" w:eastAsia="fi-FI"/>
              </w:rPr>
            </w:pPr>
          </w:p>
        </w:tc>
        <w:tc>
          <w:tcPr>
            <w:tcW w:w="915" w:type="dxa"/>
            <w:tcBorders>
              <w:top w:val="nil"/>
              <w:left w:val="nil"/>
              <w:bottom w:val="nil"/>
              <w:right w:val="nil"/>
            </w:tcBorders>
            <w:shd w:val="clear" w:color="auto" w:fill="auto"/>
            <w:noWrap/>
            <w:hideMark/>
          </w:tcPr>
          <w:p w14:paraId="48ACD051" w14:textId="77777777" w:rsidR="00B33D62" w:rsidRPr="009D376C" w:rsidRDefault="00B33D62" w:rsidP="0019543A">
            <w:pPr>
              <w:spacing w:line="240" w:lineRule="auto"/>
              <w:rPr>
                <w:rFonts w:asciiTheme="majorHAnsi" w:eastAsia="Times New Roman" w:hAnsiTheme="majorHAnsi" w:cstheme="majorHAnsi"/>
                <w:sz w:val="20"/>
                <w:szCs w:val="20"/>
                <w:lang w:val="en-US" w:eastAsia="fi-FI"/>
              </w:rPr>
            </w:pPr>
          </w:p>
        </w:tc>
        <w:tc>
          <w:tcPr>
            <w:tcW w:w="914" w:type="dxa"/>
            <w:gridSpan w:val="2"/>
            <w:tcBorders>
              <w:top w:val="nil"/>
              <w:left w:val="nil"/>
              <w:bottom w:val="nil"/>
              <w:right w:val="single" w:sz="4" w:space="0" w:color="auto"/>
            </w:tcBorders>
            <w:shd w:val="clear" w:color="auto" w:fill="auto"/>
            <w:noWrap/>
            <w:hideMark/>
          </w:tcPr>
          <w:p w14:paraId="28C09044" w14:textId="77777777" w:rsidR="00B33D62" w:rsidRPr="009D376C" w:rsidRDefault="00B33D62" w:rsidP="0019543A">
            <w:pPr>
              <w:spacing w:line="240" w:lineRule="auto"/>
              <w:rPr>
                <w:rFonts w:asciiTheme="majorHAnsi" w:eastAsia="Times New Roman" w:hAnsiTheme="majorHAnsi" w:cstheme="majorHAnsi"/>
                <w:sz w:val="20"/>
                <w:szCs w:val="20"/>
                <w:lang w:val="en-US" w:eastAsia="fi-FI"/>
              </w:rPr>
            </w:pPr>
          </w:p>
        </w:tc>
        <w:tc>
          <w:tcPr>
            <w:tcW w:w="915" w:type="dxa"/>
            <w:tcBorders>
              <w:top w:val="nil"/>
              <w:left w:val="single" w:sz="4" w:space="0" w:color="auto"/>
              <w:bottom w:val="nil"/>
              <w:right w:val="nil"/>
            </w:tcBorders>
            <w:shd w:val="clear" w:color="auto" w:fill="auto"/>
            <w:noWrap/>
            <w:hideMark/>
          </w:tcPr>
          <w:p w14:paraId="7E6B3633" w14:textId="77777777" w:rsidR="00B33D62" w:rsidRPr="009D376C" w:rsidRDefault="00B33D62" w:rsidP="0019543A">
            <w:pPr>
              <w:spacing w:line="240" w:lineRule="auto"/>
              <w:rPr>
                <w:rFonts w:asciiTheme="majorHAnsi" w:eastAsia="Times New Roman" w:hAnsiTheme="majorHAnsi" w:cstheme="majorHAnsi"/>
                <w:sz w:val="20"/>
                <w:szCs w:val="20"/>
                <w:lang w:val="en-US" w:eastAsia="fi-FI"/>
              </w:rPr>
            </w:pPr>
          </w:p>
        </w:tc>
        <w:tc>
          <w:tcPr>
            <w:tcW w:w="914" w:type="dxa"/>
            <w:tcBorders>
              <w:top w:val="nil"/>
              <w:left w:val="nil"/>
              <w:bottom w:val="nil"/>
              <w:right w:val="nil"/>
            </w:tcBorders>
            <w:shd w:val="clear" w:color="auto" w:fill="auto"/>
            <w:noWrap/>
            <w:hideMark/>
          </w:tcPr>
          <w:p w14:paraId="720B36E3" w14:textId="77777777" w:rsidR="00B33D62" w:rsidRPr="009D376C" w:rsidRDefault="00B33D62" w:rsidP="0019543A">
            <w:pPr>
              <w:spacing w:line="240" w:lineRule="auto"/>
              <w:jc w:val="right"/>
              <w:rPr>
                <w:rFonts w:asciiTheme="majorHAnsi" w:eastAsia="Times New Roman" w:hAnsiTheme="majorHAnsi" w:cstheme="majorHAnsi"/>
                <w:sz w:val="20"/>
                <w:szCs w:val="20"/>
                <w:lang w:val="en-US" w:eastAsia="fi-FI"/>
              </w:rPr>
            </w:pPr>
          </w:p>
        </w:tc>
        <w:tc>
          <w:tcPr>
            <w:tcW w:w="915" w:type="dxa"/>
            <w:tcBorders>
              <w:top w:val="nil"/>
              <w:left w:val="nil"/>
              <w:bottom w:val="nil"/>
              <w:right w:val="single" w:sz="4" w:space="0" w:color="auto"/>
            </w:tcBorders>
            <w:shd w:val="clear" w:color="auto" w:fill="auto"/>
            <w:noWrap/>
            <w:hideMark/>
          </w:tcPr>
          <w:p w14:paraId="3345A61D" w14:textId="77777777" w:rsidR="00B33D62" w:rsidRPr="009D376C" w:rsidRDefault="00B33D62" w:rsidP="0019543A">
            <w:pPr>
              <w:spacing w:line="240" w:lineRule="auto"/>
              <w:jc w:val="right"/>
              <w:rPr>
                <w:rFonts w:asciiTheme="majorHAnsi" w:eastAsia="Times New Roman" w:hAnsiTheme="majorHAnsi" w:cstheme="majorHAnsi"/>
                <w:sz w:val="20"/>
                <w:szCs w:val="20"/>
                <w:lang w:val="en-US" w:eastAsia="fi-FI"/>
              </w:rPr>
            </w:pPr>
          </w:p>
        </w:tc>
      </w:tr>
      <w:tr w:rsidR="00B33D62" w:rsidRPr="009D376C" w14:paraId="02C55A14" w14:textId="77777777" w:rsidTr="00B33D62">
        <w:trPr>
          <w:trHeight w:val="258"/>
        </w:trPr>
        <w:tc>
          <w:tcPr>
            <w:tcW w:w="1802" w:type="dxa"/>
            <w:tcBorders>
              <w:top w:val="nil"/>
              <w:left w:val="nil"/>
              <w:bottom w:val="nil"/>
              <w:right w:val="nil"/>
            </w:tcBorders>
            <w:shd w:val="clear" w:color="auto" w:fill="auto"/>
            <w:hideMark/>
          </w:tcPr>
          <w:p w14:paraId="05D86AFB"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ISCED 3-5</w:t>
            </w:r>
          </w:p>
        </w:tc>
        <w:tc>
          <w:tcPr>
            <w:tcW w:w="914" w:type="dxa"/>
            <w:tcBorders>
              <w:top w:val="nil"/>
              <w:left w:val="nil"/>
              <w:bottom w:val="nil"/>
              <w:right w:val="nil"/>
            </w:tcBorders>
            <w:shd w:val="clear" w:color="auto" w:fill="auto"/>
            <w:noWrap/>
            <w:hideMark/>
          </w:tcPr>
          <w:p w14:paraId="5A8CD428"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-0.095</w:t>
            </w:r>
          </w:p>
        </w:tc>
        <w:tc>
          <w:tcPr>
            <w:tcW w:w="914" w:type="dxa"/>
            <w:tcBorders>
              <w:top w:val="nil"/>
              <w:left w:val="nil"/>
              <w:bottom w:val="nil"/>
              <w:right w:val="nil"/>
            </w:tcBorders>
            <w:shd w:val="clear" w:color="auto" w:fill="auto"/>
            <w:noWrap/>
            <w:hideMark/>
          </w:tcPr>
          <w:p w14:paraId="67B3EC7A"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0.100</w:t>
            </w:r>
          </w:p>
        </w:tc>
        <w:tc>
          <w:tcPr>
            <w:tcW w:w="915" w:type="dxa"/>
            <w:tcBorders>
              <w:top w:val="nil"/>
              <w:left w:val="nil"/>
              <w:bottom w:val="nil"/>
              <w:right w:val="single" w:sz="4" w:space="0" w:color="auto"/>
            </w:tcBorders>
            <w:shd w:val="clear" w:color="auto" w:fill="auto"/>
            <w:noWrap/>
            <w:hideMark/>
          </w:tcPr>
          <w:p w14:paraId="7C83FE60"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0.910</w:t>
            </w:r>
          </w:p>
        </w:tc>
        <w:tc>
          <w:tcPr>
            <w:tcW w:w="914" w:type="dxa"/>
            <w:gridSpan w:val="2"/>
            <w:tcBorders>
              <w:top w:val="nil"/>
              <w:left w:val="single" w:sz="4" w:space="0" w:color="auto"/>
              <w:bottom w:val="nil"/>
              <w:right w:val="nil"/>
            </w:tcBorders>
            <w:shd w:val="clear" w:color="auto" w:fill="auto"/>
            <w:noWrap/>
            <w:hideMark/>
          </w:tcPr>
          <w:p w14:paraId="6EC2A4F4"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0.198</w:t>
            </w:r>
          </w:p>
        </w:tc>
        <w:tc>
          <w:tcPr>
            <w:tcW w:w="915" w:type="dxa"/>
            <w:tcBorders>
              <w:top w:val="nil"/>
              <w:left w:val="nil"/>
              <w:bottom w:val="nil"/>
              <w:right w:val="nil"/>
            </w:tcBorders>
            <w:shd w:val="clear" w:color="auto" w:fill="auto"/>
            <w:noWrap/>
            <w:hideMark/>
          </w:tcPr>
          <w:p w14:paraId="3C3F1D0D"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0.192</w:t>
            </w:r>
          </w:p>
        </w:tc>
        <w:tc>
          <w:tcPr>
            <w:tcW w:w="914" w:type="dxa"/>
            <w:gridSpan w:val="2"/>
            <w:tcBorders>
              <w:top w:val="nil"/>
              <w:left w:val="nil"/>
              <w:bottom w:val="nil"/>
              <w:right w:val="single" w:sz="4" w:space="0" w:color="auto"/>
            </w:tcBorders>
            <w:shd w:val="clear" w:color="auto" w:fill="auto"/>
            <w:noWrap/>
            <w:hideMark/>
          </w:tcPr>
          <w:p w14:paraId="5C4A51AA"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1.219</w:t>
            </w:r>
          </w:p>
        </w:tc>
        <w:tc>
          <w:tcPr>
            <w:tcW w:w="915" w:type="dxa"/>
            <w:tcBorders>
              <w:top w:val="nil"/>
              <w:left w:val="single" w:sz="4" w:space="0" w:color="auto"/>
              <w:bottom w:val="nil"/>
              <w:right w:val="nil"/>
            </w:tcBorders>
            <w:shd w:val="clear" w:color="auto" w:fill="auto"/>
            <w:noWrap/>
            <w:hideMark/>
          </w:tcPr>
          <w:p w14:paraId="2A2BCDB6"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0.026</w:t>
            </w:r>
          </w:p>
        </w:tc>
        <w:tc>
          <w:tcPr>
            <w:tcW w:w="914" w:type="dxa"/>
            <w:tcBorders>
              <w:top w:val="nil"/>
              <w:left w:val="nil"/>
              <w:bottom w:val="nil"/>
              <w:right w:val="nil"/>
            </w:tcBorders>
            <w:shd w:val="clear" w:color="auto" w:fill="auto"/>
            <w:noWrap/>
            <w:hideMark/>
          </w:tcPr>
          <w:p w14:paraId="6D7F889F"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0.329</w:t>
            </w:r>
          </w:p>
        </w:tc>
        <w:tc>
          <w:tcPr>
            <w:tcW w:w="915" w:type="dxa"/>
            <w:tcBorders>
              <w:top w:val="nil"/>
              <w:left w:val="nil"/>
              <w:bottom w:val="nil"/>
              <w:right w:val="single" w:sz="4" w:space="0" w:color="auto"/>
            </w:tcBorders>
            <w:shd w:val="clear" w:color="auto" w:fill="auto"/>
            <w:noWrap/>
            <w:hideMark/>
          </w:tcPr>
          <w:p w14:paraId="50A91CDE"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1.026</w:t>
            </w:r>
          </w:p>
        </w:tc>
      </w:tr>
      <w:tr w:rsidR="00B33D62" w:rsidRPr="009D376C" w14:paraId="696C92CD" w14:textId="77777777" w:rsidTr="00B33D62">
        <w:trPr>
          <w:trHeight w:val="258"/>
        </w:trPr>
        <w:tc>
          <w:tcPr>
            <w:tcW w:w="1802" w:type="dxa"/>
            <w:tcBorders>
              <w:top w:val="nil"/>
              <w:left w:val="nil"/>
              <w:bottom w:val="nil"/>
              <w:right w:val="nil"/>
            </w:tcBorders>
            <w:shd w:val="clear" w:color="auto" w:fill="auto"/>
            <w:hideMark/>
          </w:tcPr>
          <w:p w14:paraId="681D542E"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ISCED 6+</w:t>
            </w:r>
          </w:p>
        </w:tc>
        <w:tc>
          <w:tcPr>
            <w:tcW w:w="914" w:type="dxa"/>
            <w:tcBorders>
              <w:top w:val="nil"/>
              <w:left w:val="nil"/>
              <w:bottom w:val="nil"/>
              <w:right w:val="nil"/>
            </w:tcBorders>
            <w:shd w:val="clear" w:color="auto" w:fill="auto"/>
            <w:noWrap/>
            <w:hideMark/>
          </w:tcPr>
          <w:p w14:paraId="48335B47"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0.500***</w:t>
            </w:r>
          </w:p>
        </w:tc>
        <w:tc>
          <w:tcPr>
            <w:tcW w:w="914" w:type="dxa"/>
            <w:tcBorders>
              <w:top w:val="nil"/>
              <w:left w:val="nil"/>
              <w:bottom w:val="nil"/>
              <w:right w:val="nil"/>
            </w:tcBorders>
            <w:shd w:val="clear" w:color="auto" w:fill="auto"/>
            <w:noWrap/>
            <w:hideMark/>
          </w:tcPr>
          <w:p w14:paraId="75419938"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0.106</w:t>
            </w:r>
          </w:p>
        </w:tc>
        <w:tc>
          <w:tcPr>
            <w:tcW w:w="915" w:type="dxa"/>
            <w:tcBorders>
              <w:top w:val="nil"/>
              <w:left w:val="nil"/>
              <w:bottom w:val="nil"/>
              <w:right w:val="single" w:sz="4" w:space="0" w:color="auto"/>
            </w:tcBorders>
            <w:shd w:val="clear" w:color="auto" w:fill="auto"/>
            <w:noWrap/>
            <w:hideMark/>
          </w:tcPr>
          <w:p w14:paraId="709FDECB"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1.648</w:t>
            </w:r>
          </w:p>
        </w:tc>
        <w:tc>
          <w:tcPr>
            <w:tcW w:w="914" w:type="dxa"/>
            <w:gridSpan w:val="2"/>
            <w:tcBorders>
              <w:top w:val="nil"/>
              <w:left w:val="single" w:sz="4" w:space="0" w:color="auto"/>
              <w:bottom w:val="nil"/>
              <w:right w:val="nil"/>
            </w:tcBorders>
            <w:shd w:val="clear" w:color="auto" w:fill="auto"/>
            <w:noWrap/>
            <w:hideMark/>
          </w:tcPr>
          <w:p w14:paraId="40330FDA"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0.549***</w:t>
            </w:r>
          </w:p>
        </w:tc>
        <w:tc>
          <w:tcPr>
            <w:tcW w:w="915" w:type="dxa"/>
            <w:tcBorders>
              <w:top w:val="nil"/>
              <w:left w:val="nil"/>
              <w:bottom w:val="nil"/>
              <w:right w:val="nil"/>
            </w:tcBorders>
            <w:shd w:val="clear" w:color="auto" w:fill="auto"/>
            <w:noWrap/>
            <w:hideMark/>
          </w:tcPr>
          <w:p w14:paraId="01F3ECA6"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0.197</w:t>
            </w:r>
          </w:p>
        </w:tc>
        <w:tc>
          <w:tcPr>
            <w:tcW w:w="914" w:type="dxa"/>
            <w:gridSpan w:val="2"/>
            <w:tcBorders>
              <w:top w:val="nil"/>
              <w:left w:val="nil"/>
              <w:bottom w:val="nil"/>
              <w:right w:val="single" w:sz="4" w:space="0" w:color="auto"/>
            </w:tcBorders>
            <w:shd w:val="clear" w:color="auto" w:fill="auto"/>
            <w:noWrap/>
            <w:hideMark/>
          </w:tcPr>
          <w:p w14:paraId="05CA569A"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1.731</w:t>
            </w:r>
          </w:p>
        </w:tc>
        <w:tc>
          <w:tcPr>
            <w:tcW w:w="915" w:type="dxa"/>
            <w:tcBorders>
              <w:top w:val="nil"/>
              <w:left w:val="single" w:sz="4" w:space="0" w:color="auto"/>
              <w:bottom w:val="nil"/>
              <w:right w:val="nil"/>
            </w:tcBorders>
            <w:shd w:val="clear" w:color="auto" w:fill="auto"/>
            <w:noWrap/>
            <w:hideMark/>
          </w:tcPr>
          <w:p w14:paraId="3E691190"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-0.069</w:t>
            </w:r>
          </w:p>
        </w:tc>
        <w:tc>
          <w:tcPr>
            <w:tcW w:w="914" w:type="dxa"/>
            <w:tcBorders>
              <w:top w:val="nil"/>
              <w:left w:val="nil"/>
              <w:bottom w:val="nil"/>
              <w:right w:val="nil"/>
            </w:tcBorders>
            <w:shd w:val="clear" w:color="auto" w:fill="auto"/>
            <w:noWrap/>
            <w:hideMark/>
          </w:tcPr>
          <w:p w14:paraId="5FD393F3"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0.332</w:t>
            </w:r>
          </w:p>
        </w:tc>
        <w:tc>
          <w:tcPr>
            <w:tcW w:w="915" w:type="dxa"/>
            <w:tcBorders>
              <w:top w:val="nil"/>
              <w:left w:val="nil"/>
              <w:bottom w:val="nil"/>
              <w:right w:val="single" w:sz="4" w:space="0" w:color="auto"/>
            </w:tcBorders>
            <w:shd w:val="clear" w:color="auto" w:fill="auto"/>
            <w:noWrap/>
            <w:hideMark/>
          </w:tcPr>
          <w:p w14:paraId="52DFA93E"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0.933</w:t>
            </w:r>
          </w:p>
        </w:tc>
      </w:tr>
      <w:tr w:rsidR="00B33D62" w:rsidRPr="009D376C" w14:paraId="477E4AC5" w14:textId="77777777" w:rsidTr="00B33D62">
        <w:trPr>
          <w:trHeight w:val="494"/>
        </w:trPr>
        <w:tc>
          <w:tcPr>
            <w:tcW w:w="1802" w:type="dxa"/>
            <w:tcBorders>
              <w:top w:val="nil"/>
              <w:left w:val="nil"/>
              <w:bottom w:val="nil"/>
              <w:right w:val="nil"/>
            </w:tcBorders>
            <w:shd w:val="clear" w:color="auto" w:fill="auto"/>
            <w:hideMark/>
          </w:tcPr>
          <w:p w14:paraId="0548B62A"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Degree of urbanisation</w:t>
            </w:r>
          </w:p>
        </w:tc>
        <w:tc>
          <w:tcPr>
            <w:tcW w:w="914" w:type="dxa"/>
            <w:tcBorders>
              <w:top w:val="nil"/>
              <w:left w:val="nil"/>
              <w:bottom w:val="nil"/>
              <w:right w:val="nil"/>
            </w:tcBorders>
            <w:shd w:val="clear" w:color="auto" w:fill="auto"/>
            <w:noWrap/>
            <w:hideMark/>
          </w:tcPr>
          <w:p w14:paraId="51812E1E"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p>
        </w:tc>
        <w:tc>
          <w:tcPr>
            <w:tcW w:w="914" w:type="dxa"/>
            <w:tcBorders>
              <w:top w:val="nil"/>
              <w:left w:val="nil"/>
              <w:bottom w:val="nil"/>
              <w:right w:val="nil"/>
            </w:tcBorders>
            <w:shd w:val="clear" w:color="auto" w:fill="auto"/>
            <w:noWrap/>
            <w:hideMark/>
          </w:tcPr>
          <w:p w14:paraId="63D30BF7" w14:textId="77777777" w:rsidR="00B33D62" w:rsidRPr="009D376C" w:rsidRDefault="00B33D62" w:rsidP="0019543A">
            <w:pPr>
              <w:spacing w:line="240" w:lineRule="auto"/>
              <w:jc w:val="right"/>
              <w:rPr>
                <w:rFonts w:asciiTheme="majorHAnsi" w:eastAsia="Times New Roman" w:hAnsiTheme="majorHAnsi" w:cstheme="majorHAnsi"/>
                <w:sz w:val="20"/>
                <w:szCs w:val="20"/>
                <w:lang w:eastAsia="fi-FI"/>
              </w:rPr>
            </w:pPr>
          </w:p>
        </w:tc>
        <w:tc>
          <w:tcPr>
            <w:tcW w:w="915" w:type="dxa"/>
            <w:tcBorders>
              <w:top w:val="nil"/>
              <w:left w:val="nil"/>
              <w:bottom w:val="nil"/>
              <w:right w:val="single" w:sz="4" w:space="0" w:color="auto"/>
            </w:tcBorders>
            <w:shd w:val="clear" w:color="auto" w:fill="auto"/>
            <w:noWrap/>
            <w:hideMark/>
          </w:tcPr>
          <w:p w14:paraId="327EDF1E" w14:textId="77777777" w:rsidR="00B33D62" w:rsidRPr="009D376C" w:rsidRDefault="00B33D62" w:rsidP="0019543A">
            <w:pPr>
              <w:spacing w:line="240" w:lineRule="auto"/>
              <w:jc w:val="right"/>
              <w:rPr>
                <w:rFonts w:asciiTheme="majorHAnsi" w:eastAsia="Times New Roman" w:hAnsiTheme="majorHAnsi" w:cstheme="majorHAnsi"/>
                <w:sz w:val="20"/>
                <w:szCs w:val="20"/>
                <w:lang w:eastAsia="fi-FI"/>
              </w:rPr>
            </w:pPr>
          </w:p>
        </w:tc>
        <w:tc>
          <w:tcPr>
            <w:tcW w:w="914" w:type="dxa"/>
            <w:gridSpan w:val="2"/>
            <w:tcBorders>
              <w:top w:val="nil"/>
              <w:left w:val="single" w:sz="4" w:space="0" w:color="auto"/>
              <w:bottom w:val="nil"/>
              <w:right w:val="nil"/>
            </w:tcBorders>
            <w:shd w:val="clear" w:color="auto" w:fill="auto"/>
            <w:noWrap/>
            <w:hideMark/>
          </w:tcPr>
          <w:p w14:paraId="48425A50"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c>
          <w:tcPr>
            <w:tcW w:w="915" w:type="dxa"/>
            <w:tcBorders>
              <w:top w:val="nil"/>
              <w:left w:val="nil"/>
              <w:bottom w:val="nil"/>
              <w:right w:val="nil"/>
            </w:tcBorders>
            <w:shd w:val="clear" w:color="auto" w:fill="auto"/>
            <w:noWrap/>
            <w:hideMark/>
          </w:tcPr>
          <w:p w14:paraId="348F95CA"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c>
          <w:tcPr>
            <w:tcW w:w="914" w:type="dxa"/>
            <w:gridSpan w:val="2"/>
            <w:tcBorders>
              <w:top w:val="nil"/>
              <w:left w:val="nil"/>
              <w:bottom w:val="nil"/>
              <w:right w:val="single" w:sz="4" w:space="0" w:color="auto"/>
            </w:tcBorders>
            <w:shd w:val="clear" w:color="auto" w:fill="auto"/>
            <w:noWrap/>
            <w:hideMark/>
          </w:tcPr>
          <w:p w14:paraId="0372415A"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c>
          <w:tcPr>
            <w:tcW w:w="915" w:type="dxa"/>
            <w:tcBorders>
              <w:top w:val="nil"/>
              <w:left w:val="single" w:sz="4" w:space="0" w:color="auto"/>
              <w:bottom w:val="nil"/>
              <w:right w:val="nil"/>
            </w:tcBorders>
            <w:shd w:val="clear" w:color="auto" w:fill="auto"/>
            <w:noWrap/>
            <w:hideMark/>
          </w:tcPr>
          <w:p w14:paraId="5141BA70"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c>
          <w:tcPr>
            <w:tcW w:w="914" w:type="dxa"/>
            <w:tcBorders>
              <w:top w:val="nil"/>
              <w:left w:val="nil"/>
              <w:bottom w:val="nil"/>
              <w:right w:val="nil"/>
            </w:tcBorders>
            <w:shd w:val="clear" w:color="auto" w:fill="auto"/>
            <w:noWrap/>
            <w:hideMark/>
          </w:tcPr>
          <w:p w14:paraId="619A42FC" w14:textId="77777777" w:rsidR="00B33D62" w:rsidRPr="009D376C" w:rsidRDefault="00B33D62" w:rsidP="0019543A">
            <w:pPr>
              <w:spacing w:line="240" w:lineRule="auto"/>
              <w:jc w:val="right"/>
              <w:rPr>
                <w:rFonts w:asciiTheme="majorHAnsi" w:eastAsia="Times New Roman" w:hAnsiTheme="majorHAnsi" w:cstheme="majorHAnsi"/>
                <w:sz w:val="20"/>
                <w:szCs w:val="20"/>
                <w:lang w:eastAsia="fi-FI"/>
              </w:rPr>
            </w:pPr>
          </w:p>
        </w:tc>
        <w:tc>
          <w:tcPr>
            <w:tcW w:w="915" w:type="dxa"/>
            <w:tcBorders>
              <w:top w:val="nil"/>
              <w:left w:val="nil"/>
              <w:bottom w:val="nil"/>
              <w:right w:val="single" w:sz="4" w:space="0" w:color="auto"/>
            </w:tcBorders>
            <w:shd w:val="clear" w:color="auto" w:fill="auto"/>
            <w:noWrap/>
            <w:hideMark/>
          </w:tcPr>
          <w:p w14:paraId="7608B7C0" w14:textId="77777777" w:rsidR="00B33D62" w:rsidRPr="009D376C" w:rsidRDefault="00B33D62" w:rsidP="0019543A">
            <w:pPr>
              <w:spacing w:line="240" w:lineRule="auto"/>
              <w:jc w:val="right"/>
              <w:rPr>
                <w:rFonts w:asciiTheme="majorHAnsi" w:eastAsia="Times New Roman" w:hAnsiTheme="majorHAnsi" w:cstheme="majorHAnsi"/>
                <w:sz w:val="20"/>
                <w:szCs w:val="20"/>
                <w:lang w:eastAsia="fi-FI"/>
              </w:rPr>
            </w:pPr>
          </w:p>
        </w:tc>
      </w:tr>
      <w:tr w:rsidR="00B33D62" w:rsidRPr="009D376C" w14:paraId="157B2022" w14:textId="77777777" w:rsidTr="00B33D62">
        <w:trPr>
          <w:trHeight w:val="258"/>
        </w:trPr>
        <w:tc>
          <w:tcPr>
            <w:tcW w:w="1802" w:type="dxa"/>
            <w:tcBorders>
              <w:top w:val="nil"/>
              <w:left w:val="nil"/>
              <w:bottom w:val="nil"/>
              <w:right w:val="nil"/>
            </w:tcBorders>
            <w:shd w:val="clear" w:color="auto" w:fill="auto"/>
            <w:hideMark/>
          </w:tcPr>
          <w:p w14:paraId="53073185"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Semi-urban</w:t>
            </w:r>
          </w:p>
        </w:tc>
        <w:tc>
          <w:tcPr>
            <w:tcW w:w="914" w:type="dxa"/>
            <w:tcBorders>
              <w:top w:val="nil"/>
              <w:left w:val="nil"/>
              <w:bottom w:val="nil"/>
              <w:right w:val="nil"/>
            </w:tcBorders>
            <w:shd w:val="clear" w:color="auto" w:fill="auto"/>
            <w:noWrap/>
            <w:hideMark/>
          </w:tcPr>
          <w:p w14:paraId="56039FDF"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-0.166</w:t>
            </w:r>
          </w:p>
        </w:tc>
        <w:tc>
          <w:tcPr>
            <w:tcW w:w="914" w:type="dxa"/>
            <w:tcBorders>
              <w:top w:val="nil"/>
              <w:left w:val="nil"/>
              <w:bottom w:val="nil"/>
              <w:right w:val="nil"/>
            </w:tcBorders>
            <w:shd w:val="clear" w:color="auto" w:fill="auto"/>
            <w:noWrap/>
            <w:hideMark/>
          </w:tcPr>
          <w:p w14:paraId="6418FEB5"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0.108</w:t>
            </w:r>
          </w:p>
        </w:tc>
        <w:tc>
          <w:tcPr>
            <w:tcW w:w="915" w:type="dxa"/>
            <w:tcBorders>
              <w:top w:val="nil"/>
              <w:left w:val="nil"/>
              <w:bottom w:val="nil"/>
              <w:right w:val="single" w:sz="4" w:space="0" w:color="auto"/>
            </w:tcBorders>
            <w:shd w:val="clear" w:color="auto" w:fill="auto"/>
            <w:noWrap/>
            <w:hideMark/>
          </w:tcPr>
          <w:p w14:paraId="2DF057A5"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0.847</w:t>
            </w:r>
          </w:p>
        </w:tc>
        <w:tc>
          <w:tcPr>
            <w:tcW w:w="914" w:type="dxa"/>
            <w:gridSpan w:val="2"/>
            <w:tcBorders>
              <w:top w:val="nil"/>
              <w:left w:val="single" w:sz="4" w:space="0" w:color="auto"/>
              <w:bottom w:val="nil"/>
              <w:right w:val="nil"/>
            </w:tcBorders>
            <w:shd w:val="clear" w:color="auto" w:fill="auto"/>
            <w:noWrap/>
            <w:hideMark/>
          </w:tcPr>
          <w:p w14:paraId="785F3260"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-0.173</w:t>
            </w:r>
          </w:p>
        </w:tc>
        <w:tc>
          <w:tcPr>
            <w:tcW w:w="915" w:type="dxa"/>
            <w:tcBorders>
              <w:top w:val="nil"/>
              <w:left w:val="nil"/>
              <w:bottom w:val="nil"/>
              <w:right w:val="nil"/>
            </w:tcBorders>
            <w:shd w:val="clear" w:color="auto" w:fill="auto"/>
            <w:noWrap/>
            <w:hideMark/>
          </w:tcPr>
          <w:p w14:paraId="771C7A1E"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0.198</w:t>
            </w:r>
          </w:p>
        </w:tc>
        <w:tc>
          <w:tcPr>
            <w:tcW w:w="914" w:type="dxa"/>
            <w:gridSpan w:val="2"/>
            <w:tcBorders>
              <w:top w:val="nil"/>
              <w:left w:val="nil"/>
              <w:bottom w:val="nil"/>
              <w:right w:val="single" w:sz="4" w:space="0" w:color="auto"/>
            </w:tcBorders>
            <w:shd w:val="clear" w:color="auto" w:fill="auto"/>
            <w:noWrap/>
            <w:hideMark/>
          </w:tcPr>
          <w:p w14:paraId="1A85CACF"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0.841</w:t>
            </w:r>
          </w:p>
        </w:tc>
        <w:tc>
          <w:tcPr>
            <w:tcW w:w="915" w:type="dxa"/>
            <w:tcBorders>
              <w:top w:val="nil"/>
              <w:left w:val="single" w:sz="4" w:space="0" w:color="auto"/>
              <w:bottom w:val="nil"/>
              <w:right w:val="nil"/>
            </w:tcBorders>
            <w:shd w:val="clear" w:color="auto" w:fill="auto"/>
            <w:noWrap/>
            <w:hideMark/>
          </w:tcPr>
          <w:p w14:paraId="19C22F0F"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-0.003</w:t>
            </w:r>
          </w:p>
        </w:tc>
        <w:tc>
          <w:tcPr>
            <w:tcW w:w="914" w:type="dxa"/>
            <w:tcBorders>
              <w:top w:val="nil"/>
              <w:left w:val="nil"/>
              <w:bottom w:val="nil"/>
              <w:right w:val="nil"/>
            </w:tcBorders>
            <w:shd w:val="clear" w:color="auto" w:fill="auto"/>
            <w:noWrap/>
            <w:hideMark/>
          </w:tcPr>
          <w:p w14:paraId="49940D58"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0.332</w:t>
            </w:r>
          </w:p>
        </w:tc>
        <w:tc>
          <w:tcPr>
            <w:tcW w:w="915" w:type="dxa"/>
            <w:tcBorders>
              <w:top w:val="nil"/>
              <w:left w:val="nil"/>
              <w:bottom w:val="nil"/>
              <w:right w:val="single" w:sz="4" w:space="0" w:color="auto"/>
            </w:tcBorders>
            <w:shd w:val="clear" w:color="auto" w:fill="auto"/>
            <w:noWrap/>
            <w:hideMark/>
          </w:tcPr>
          <w:p w14:paraId="4FD0B9F7"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0.997</w:t>
            </w:r>
          </w:p>
        </w:tc>
      </w:tr>
      <w:tr w:rsidR="00B33D62" w:rsidRPr="009D376C" w14:paraId="49A7F6E1" w14:textId="77777777" w:rsidTr="00B33D62">
        <w:trPr>
          <w:trHeight w:val="258"/>
        </w:trPr>
        <w:tc>
          <w:tcPr>
            <w:tcW w:w="1802" w:type="dxa"/>
            <w:tcBorders>
              <w:top w:val="nil"/>
              <w:left w:val="nil"/>
              <w:bottom w:val="nil"/>
              <w:right w:val="nil"/>
            </w:tcBorders>
            <w:shd w:val="clear" w:color="auto" w:fill="auto"/>
            <w:hideMark/>
          </w:tcPr>
          <w:p w14:paraId="2F8C854E"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Rural</w:t>
            </w:r>
          </w:p>
        </w:tc>
        <w:tc>
          <w:tcPr>
            <w:tcW w:w="914" w:type="dxa"/>
            <w:tcBorders>
              <w:top w:val="nil"/>
              <w:left w:val="nil"/>
              <w:bottom w:val="nil"/>
              <w:right w:val="nil"/>
            </w:tcBorders>
            <w:shd w:val="clear" w:color="auto" w:fill="auto"/>
            <w:noWrap/>
            <w:hideMark/>
          </w:tcPr>
          <w:p w14:paraId="3CE2C9B8"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-0.113</w:t>
            </w:r>
          </w:p>
        </w:tc>
        <w:tc>
          <w:tcPr>
            <w:tcW w:w="914" w:type="dxa"/>
            <w:tcBorders>
              <w:top w:val="nil"/>
              <w:left w:val="nil"/>
              <w:bottom w:val="nil"/>
              <w:right w:val="nil"/>
            </w:tcBorders>
            <w:shd w:val="clear" w:color="auto" w:fill="auto"/>
            <w:noWrap/>
            <w:hideMark/>
          </w:tcPr>
          <w:p w14:paraId="63615D27"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0.117</w:t>
            </w:r>
          </w:p>
        </w:tc>
        <w:tc>
          <w:tcPr>
            <w:tcW w:w="915" w:type="dxa"/>
            <w:tcBorders>
              <w:top w:val="nil"/>
              <w:left w:val="nil"/>
              <w:bottom w:val="nil"/>
              <w:right w:val="single" w:sz="4" w:space="0" w:color="auto"/>
            </w:tcBorders>
            <w:shd w:val="clear" w:color="auto" w:fill="auto"/>
            <w:noWrap/>
            <w:hideMark/>
          </w:tcPr>
          <w:p w14:paraId="293F7BAF"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0.893</w:t>
            </w:r>
          </w:p>
        </w:tc>
        <w:tc>
          <w:tcPr>
            <w:tcW w:w="914" w:type="dxa"/>
            <w:gridSpan w:val="2"/>
            <w:tcBorders>
              <w:top w:val="nil"/>
              <w:left w:val="single" w:sz="4" w:space="0" w:color="auto"/>
              <w:bottom w:val="nil"/>
              <w:right w:val="nil"/>
            </w:tcBorders>
            <w:shd w:val="clear" w:color="auto" w:fill="auto"/>
            <w:noWrap/>
            <w:hideMark/>
          </w:tcPr>
          <w:p w14:paraId="0378AC3D"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-0.074</w:t>
            </w:r>
          </w:p>
        </w:tc>
        <w:tc>
          <w:tcPr>
            <w:tcW w:w="915" w:type="dxa"/>
            <w:tcBorders>
              <w:top w:val="nil"/>
              <w:left w:val="nil"/>
              <w:bottom w:val="nil"/>
              <w:right w:val="nil"/>
            </w:tcBorders>
            <w:shd w:val="clear" w:color="auto" w:fill="auto"/>
            <w:noWrap/>
            <w:hideMark/>
          </w:tcPr>
          <w:p w14:paraId="47745476"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0.217</w:t>
            </w:r>
          </w:p>
        </w:tc>
        <w:tc>
          <w:tcPr>
            <w:tcW w:w="914" w:type="dxa"/>
            <w:gridSpan w:val="2"/>
            <w:tcBorders>
              <w:top w:val="nil"/>
              <w:left w:val="nil"/>
              <w:bottom w:val="nil"/>
              <w:right w:val="single" w:sz="4" w:space="0" w:color="auto"/>
            </w:tcBorders>
            <w:shd w:val="clear" w:color="auto" w:fill="auto"/>
            <w:noWrap/>
            <w:hideMark/>
          </w:tcPr>
          <w:p w14:paraId="54D90477"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0.929</w:t>
            </w:r>
          </w:p>
        </w:tc>
        <w:tc>
          <w:tcPr>
            <w:tcW w:w="915" w:type="dxa"/>
            <w:tcBorders>
              <w:top w:val="nil"/>
              <w:left w:val="single" w:sz="4" w:space="0" w:color="auto"/>
              <w:bottom w:val="nil"/>
              <w:right w:val="nil"/>
            </w:tcBorders>
            <w:shd w:val="clear" w:color="auto" w:fill="auto"/>
            <w:noWrap/>
            <w:hideMark/>
          </w:tcPr>
          <w:p w14:paraId="248D1BA7"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-0.659*</w:t>
            </w:r>
          </w:p>
        </w:tc>
        <w:tc>
          <w:tcPr>
            <w:tcW w:w="914" w:type="dxa"/>
            <w:tcBorders>
              <w:top w:val="nil"/>
              <w:left w:val="nil"/>
              <w:bottom w:val="nil"/>
              <w:right w:val="nil"/>
            </w:tcBorders>
            <w:shd w:val="clear" w:color="auto" w:fill="auto"/>
            <w:noWrap/>
            <w:hideMark/>
          </w:tcPr>
          <w:p w14:paraId="546AA803"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0.315</w:t>
            </w:r>
          </w:p>
        </w:tc>
        <w:tc>
          <w:tcPr>
            <w:tcW w:w="915" w:type="dxa"/>
            <w:tcBorders>
              <w:top w:val="nil"/>
              <w:left w:val="nil"/>
              <w:bottom w:val="nil"/>
              <w:right w:val="single" w:sz="4" w:space="0" w:color="auto"/>
            </w:tcBorders>
            <w:shd w:val="clear" w:color="auto" w:fill="auto"/>
            <w:noWrap/>
            <w:hideMark/>
          </w:tcPr>
          <w:p w14:paraId="1ABC6CD5"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0.517</w:t>
            </w:r>
          </w:p>
        </w:tc>
      </w:tr>
      <w:tr w:rsidR="00B33D62" w:rsidRPr="009D376C" w14:paraId="3CE72A08" w14:textId="77777777" w:rsidTr="00B33D62">
        <w:trPr>
          <w:trHeight w:val="258"/>
        </w:trPr>
        <w:tc>
          <w:tcPr>
            <w:tcW w:w="1802" w:type="dxa"/>
            <w:tcBorders>
              <w:top w:val="nil"/>
              <w:left w:val="nil"/>
              <w:bottom w:val="nil"/>
              <w:right w:val="nil"/>
            </w:tcBorders>
            <w:shd w:val="clear" w:color="auto" w:fill="auto"/>
          </w:tcPr>
          <w:p w14:paraId="4BB6E4DD"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p>
        </w:tc>
        <w:tc>
          <w:tcPr>
            <w:tcW w:w="914" w:type="dxa"/>
            <w:tcBorders>
              <w:top w:val="nil"/>
              <w:left w:val="nil"/>
              <w:bottom w:val="nil"/>
              <w:right w:val="nil"/>
            </w:tcBorders>
            <w:shd w:val="clear" w:color="auto" w:fill="auto"/>
            <w:noWrap/>
          </w:tcPr>
          <w:p w14:paraId="4276C4EE"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p>
        </w:tc>
        <w:tc>
          <w:tcPr>
            <w:tcW w:w="914" w:type="dxa"/>
            <w:tcBorders>
              <w:top w:val="nil"/>
              <w:left w:val="nil"/>
              <w:bottom w:val="nil"/>
              <w:right w:val="nil"/>
            </w:tcBorders>
            <w:shd w:val="clear" w:color="auto" w:fill="auto"/>
            <w:noWrap/>
          </w:tcPr>
          <w:p w14:paraId="616DC5B6"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p>
        </w:tc>
        <w:tc>
          <w:tcPr>
            <w:tcW w:w="915" w:type="dxa"/>
            <w:tcBorders>
              <w:top w:val="nil"/>
              <w:left w:val="nil"/>
              <w:bottom w:val="nil"/>
              <w:right w:val="single" w:sz="4" w:space="0" w:color="auto"/>
            </w:tcBorders>
            <w:shd w:val="clear" w:color="auto" w:fill="auto"/>
            <w:noWrap/>
          </w:tcPr>
          <w:p w14:paraId="4B46BC7F"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p>
        </w:tc>
        <w:tc>
          <w:tcPr>
            <w:tcW w:w="914" w:type="dxa"/>
            <w:gridSpan w:val="2"/>
            <w:tcBorders>
              <w:top w:val="nil"/>
              <w:left w:val="single" w:sz="4" w:space="0" w:color="auto"/>
              <w:bottom w:val="nil"/>
              <w:right w:val="nil"/>
            </w:tcBorders>
            <w:shd w:val="clear" w:color="auto" w:fill="auto"/>
            <w:noWrap/>
          </w:tcPr>
          <w:p w14:paraId="73BA24C2"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p>
        </w:tc>
        <w:tc>
          <w:tcPr>
            <w:tcW w:w="915" w:type="dxa"/>
            <w:tcBorders>
              <w:top w:val="nil"/>
              <w:left w:val="nil"/>
              <w:bottom w:val="nil"/>
              <w:right w:val="nil"/>
            </w:tcBorders>
            <w:shd w:val="clear" w:color="auto" w:fill="auto"/>
            <w:noWrap/>
          </w:tcPr>
          <w:p w14:paraId="47211166"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p>
        </w:tc>
        <w:tc>
          <w:tcPr>
            <w:tcW w:w="914" w:type="dxa"/>
            <w:gridSpan w:val="2"/>
            <w:tcBorders>
              <w:top w:val="nil"/>
              <w:left w:val="nil"/>
              <w:bottom w:val="nil"/>
              <w:right w:val="single" w:sz="4" w:space="0" w:color="auto"/>
            </w:tcBorders>
            <w:shd w:val="clear" w:color="auto" w:fill="auto"/>
            <w:noWrap/>
          </w:tcPr>
          <w:p w14:paraId="5AA557AF"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p>
        </w:tc>
        <w:tc>
          <w:tcPr>
            <w:tcW w:w="915" w:type="dxa"/>
            <w:tcBorders>
              <w:top w:val="nil"/>
              <w:left w:val="single" w:sz="4" w:space="0" w:color="auto"/>
              <w:bottom w:val="nil"/>
              <w:right w:val="nil"/>
            </w:tcBorders>
            <w:shd w:val="clear" w:color="auto" w:fill="auto"/>
            <w:noWrap/>
          </w:tcPr>
          <w:p w14:paraId="1421C86B"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p>
        </w:tc>
        <w:tc>
          <w:tcPr>
            <w:tcW w:w="914" w:type="dxa"/>
            <w:tcBorders>
              <w:top w:val="nil"/>
              <w:left w:val="nil"/>
              <w:bottom w:val="nil"/>
              <w:right w:val="nil"/>
            </w:tcBorders>
            <w:shd w:val="clear" w:color="auto" w:fill="auto"/>
            <w:noWrap/>
          </w:tcPr>
          <w:p w14:paraId="6F125D4D"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p>
        </w:tc>
        <w:tc>
          <w:tcPr>
            <w:tcW w:w="915" w:type="dxa"/>
            <w:tcBorders>
              <w:top w:val="nil"/>
              <w:left w:val="nil"/>
              <w:bottom w:val="nil"/>
              <w:right w:val="single" w:sz="4" w:space="0" w:color="auto"/>
            </w:tcBorders>
            <w:shd w:val="clear" w:color="auto" w:fill="auto"/>
            <w:noWrap/>
          </w:tcPr>
          <w:p w14:paraId="2E924829"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p>
        </w:tc>
      </w:tr>
      <w:tr w:rsidR="00B33D62" w:rsidRPr="009D376C" w14:paraId="3EBCADD7" w14:textId="77777777" w:rsidTr="00B33D62">
        <w:trPr>
          <w:trHeight w:val="258"/>
        </w:trPr>
        <w:tc>
          <w:tcPr>
            <w:tcW w:w="1802" w:type="dxa"/>
            <w:tcBorders>
              <w:top w:val="nil"/>
              <w:left w:val="nil"/>
              <w:bottom w:val="single" w:sz="4" w:space="0" w:color="000000"/>
              <w:right w:val="nil"/>
            </w:tcBorders>
            <w:shd w:val="clear" w:color="auto" w:fill="auto"/>
            <w:hideMark/>
          </w:tcPr>
          <w:p w14:paraId="0B444648"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Constant</w:t>
            </w:r>
          </w:p>
        </w:tc>
        <w:tc>
          <w:tcPr>
            <w:tcW w:w="914" w:type="dxa"/>
            <w:tcBorders>
              <w:top w:val="nil"/>
              <w:left w:val="nil"/>
              <w:bottom w:val="single" w:sz="4" w:space="0" w:color="000000"/>
              <w:right w:val="nil"/>
            </w:tcBorders>
            <w:shd w:val="clear" w:color="auto" w:fill="auto"/>
            <w:noWrap/>
            <w:hideMark/>
          </w:tcPr>
          <w:p w14:paraId="5548F5AC"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-0.915***</w:t>
            </w:r>
          </w:p>
        </w:tc>
        <w:tc>
          <w:tcPr>
            <w:tcW w:w="914" w:type="dxa"/>
            <w:tcBorders>
              <w:top w:val="nil"/>
              <w:left w:val="nil"/>
              <w:bottom w:val="single" w:sz="4" w:space="0" w:color="000000"/>
              <w:right w:val="nil"/>
            </w:tcBorders>
            <w:shd w:val="clear" w:color="auto" w:fill="auto"/>
            <w:noWrap/>
            <w:hideMark/>
          </w:tcPr>
          <w:p w14:paraId="6B05A631"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0.160</w:t>
            </w:r>
          </w:p>
        </w:tc>
        <w:tc>
          <w:tcPr>
            <w:tcW w:w="915" w:type="dxa"/>
            <w:tcBorders>
              <w:top w:val="nil"/>
              <w:left w:val="nil"/>
              <w:bottom w:val="single" w:sz="4" w:space="0" w:color="000000"/>
              <w:right w:val="single" w:sz="4" w:space="0" w:color="auto"/>
            </w:tcBorders>
            <w:shd w:val="clear" w:color="auto" w:fill="auto"/>
            <w:noWrap/>
            <w:hideMark/>
          </w:tcPr>
          <w:p w14:paraId="52C5966B"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0.400</w:t>
            </w:r>
          </w:p>
        </w:tc>
        <w:tc>
          <w:tcPr>
            <w:tcW w:w="914" w:type="dxa"/>
            <w:gridSpan w:val="2"/>
            <w:tcBorders>
              <w:top w:val="nil"/>
              <w:left w:val="single" w:sz="4" w:space="0" w:color="auto"/>
              <w:bottom w:val="single" w:sz="4" w:space="0" w:color="000000"/>
              <w:right w:val="nil"/>
            </w:tcBorders>
            <w:shd w:val="clear" w:color="auto" w:fill="auto"/>
            <w:noWrap/>
            <w:hideMark/>
          </w:tcPr>
          <w:p w14:paraId="01286104"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0.250</w:t>
            </w:r>
          </w:p>
        </w:tc>
        <w:tc>
          <w:tcPr>
            <w:tcW w:w="915" w:type="dxa"/>
            <w:tcBorders>
              <w:top w:val="nil"/>
              <w:left w:val="nil"/>
              <w:bottom w:val="single" w:sz="4" w:space="0" w:color="000000"/>
              <w:right w:val="nil"/>
            </w:tcBorders>
            <w:shd w:val="clear" w:color="auto" w:fill="auto"/>
            <w:noWrap/>
            <w:hideMark/>
          </w:tcPr>
          <w:p w14:paraId="051E7747"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0.282</w:t>
            </w:r>
          </w:p>
        </w:tc>
        <w:tc>
          <w:tcPr>
            <w:tcW w:w="914" w:type="dxa"/>
            <w:gridSpan w:val="2"/>
            <w:tcBorders>
              <w:top w:val="nil"/>
              <w:left w:val="nil"/>
              <w:bottom w:val="single" w:sz="4" w:space="0" w:color="000000"/>
              <w:right w:val="single" w:sz="4" w:space="0" w:color="auto"/>
            </w:tcBorders>
            <w:shd w:val="clear" w:color="auto" w:fill="auto"/>
            <w:noWrap/>
            <w:hideMark/>
          </w:tcPr>
          <w:p w14:paraId="7CD28155"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1.284</w:t>
            </w:r>
          </w:p>
        </w:tc>
        <w:tc>
          <w:tcPr>
            <w:tcW w:w="915" w:type="dxa"/>
            <w:tcBorders>
              <w:top w:val="nil"/>
              <w:left w:val="single" w:sz="4" w:space="0" w:color="auto"/>
              <w:bottom w:val="single" w:sz="4" w:space="0" w:color="000000"/>
              <w:right w:val="nil"/>
            </w:tcBorders>
            <w:shd w:val="clear" w:color="auto" w:fill="auto"/>
            <w:noWrap/>
            <w:hideMark/>
          </w:tcPr>
          <w:p w14:paraId="32B89B77"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1.602</w:t>
            </w:r>
          </w:p>
        </w:tc>
        <w:tc>
          <w:tcPr>
            <w:tcW w:w="914" w:type="dxa"/>
            <w:tcBorders>
              <w:top w:val="nil"/>
              <w:left w:val="nil"/>
              <w:bottom w:val="single" w:sz="4" w:space="0" w:color="000000"/>
              <w:right w:val="nil"/>
            </w:tcBorders>
            <w:shd w:val="clear" w:color="auto" w:fill="auto"/>
            <w:noWrap/>
            <w:hideMark/>
          </w:tcPr>
          <w:p w14:paraId="6F30E8F0"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0.318</w:t>
            </w:r>
          </w:p>
        </w:tc>
        <w:tc>
          <w:tcPr>
            <w:tcW w:w="915" w:type="dxa"/>
            <w:tcBorders>
              <w:top w:val="nil"/>
              <w:left w:val="nil"/>
              <w:bottom w:val="single" w:sz="4" w:space="0" w:color="000000"/>
              <w:right w:val="single" w:sz="4" w:space="0" w:color="auto"/>
            </w:tcBorders>
            <w:shd w:val="clear" w:color="auto" w:fill="auto"/>
            <w:noWrap/>
            <w:hideMark/>
          </w:tcPr>
          <w:p w14:paraId="42652EAE"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4.962</w:t>
            </w:r>
          </w:p>
        </w:tc>
      </w:tr>
      <w:tr w:rsidR="00B33D62" w:rsidRPr="009D376C" w14:paraId="10535FEC" w14:textId="77777777" w:rsidTr="00B33D62">
        <w:trPr>
          <w:trHeight w:val="258"/>
        </w:trPr>
        <w:tc>
          <w:tcPr>
            <w:tcW w:w="1802" w:type="dxa"/>
            <w:tcBorders>
              <w:top w:val="nil"/>
              <w:left w:val="nil"/>
              <w:bottom w:val="single" w:sz="4" w:space="0" w:color="000000"/>
              <w:right w:val="nil"/>
            </w:tcBorders>
            <w:shd w:val="clear" w:color="auto" w:fill="auto"/>
          </w:tcPr>
          <w:p w14:paraId="6765E8C5"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p>
        </w:tc>
        <w:tc>
          <w:tcPr>
            <w:tcW w:w="914" w:type="dxa"/>
            <w:tcBorders>
              <w:top w:val="nil"/>
              <w:left w:val="nil"/>
              <w:bottom w:val="single" w:sz="4" w:space="0" w:color="000000"/>
              <w:right w:val="nil"/>
            </w:tcBorders>
            <w:shd w:val="clear" w:color="auto" w:fill="auto"/>
            <w:noWrap/>
          </w:tcPr>
          <w:p w14:paraId="4B9FBB56"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p>
        </w:tc>
        <w:tc>
          <w:tcPr>
            <w:tcW w:w="914" w:type="dxa"/>
            <w:tcBorders>
              <w:top w:val="nil"/>
              <w:left w:val="nil"/>
              <w:bottom w:val="single" w:sz="4" w:space="0" w:color="000000"/>
              <w:right w:val="nil"/>
            </w:tcBorders>
            <w:shd w:val="clear" w:color="auto" w:fill="auto"/>
            <w:noWrap/>
          </w:tcPr>
          <w:p w14:paraId="49E2B00D"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p>
        </w:tc>
        <w:tc>
          <w:tcPr>
            <w:tcW w:w="915" w:type="dxa"/>
            <w:tcBorders>
              <w:top w:val="nil"/>
              <w:left w:val="nil"/>
              <w:bottom w:val="single" w:sz="4" w:space="0" w:color="000000"/>
              <w:right w:val="single" w:sz="4" w:space="0" w:color="auto"/>
            </w:tcBorders>
            <w:shd w:val="clear" w:color="auto" w:fill="auto"/>
            <w:noWrap/>
          </w:tcPr>
          <w:p w14:paraId="1888CC73" w14:textId="77777777" w:rsidR="00B33D62" w:rsidRPr="009D376C" w:rsidRDefault="00B33D62" w:rsidP="0019543A">
            <w:pPr>
              <w:spacing w:line="240" w:lineRule="auto"/>
              <w:jc w:val="right"/>
              <w:rPr>
                <w:rFonts w:asciiTheme="majorHAnsi" w:eastAsia="Times New Roman" w:hAnsiTheme="majorHAnsi" w:cstheme="majorHAnsi"/>
                <w:b/>
                <w:color w:val="000000"/>
                <w:sz w:val="20"/>
                <w:szCs w:val="20"/>
                <w:lang w:eastAsia="fi-FI"/>
              </w:rPr>
            </w:pPr>
          </w:p>
        </w:tc>
        <w:tc>
          <w:tcPr>
            <w:tcW w:w="914" w:type="dxa"/>
            <w:gridSpan w:val="2"/>
            <w:tcBorders>
              <w:top w:val="nil"/>
              <w:left w:val="single" w:sz="4" w:space="0" w:color="auto"/>
              <w:bottom w:val="single" w:sz="4" w:space="0" w:color="000000"/>
              <w:right w:val="nil"/>
            </w:tcBorders>
            <w:shd w:val="clear" w:color="auto" w:fill="auto"/>
            <w:noWrap/>
          </w:tcPr>
          <w:p w14:paraId="53181691"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p>
        </w:tc>
        <w:tc>
          <w:tcPr>
            <w:tcW w:w="915" w:type="dxa"/>
            <w:tcBorders>
              <w:top w:val="nil"/>
              <w:left w:val="nil"/>
              <w:bottom w:val="single" w:sz="4" w:space="0" w:color="000000"/>
              <w:right w:val="nil"/>
            </w:tcBorders>
            <w:shd w:val="clear" w:color="auto" w:fill="auto"/>
            <w:noWrap/>
          </w:tcPr>
          <w:p w14:paraId="5E269AC1"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p>
        </w:tc>
        <w:tc>
          <w:tcPr>
            <w:tcW w:w="914" w:type="dxa"/>
            <w:gridSpan w:val="2"/>
            <w:tcBorders>
              <w:top w:val="nil"/>
              <w:left w:val="nil"/>
              <w:bottom w:val="single" w:sz="4" w:space="0" w:color="000000"/>
              <w:right w:val="single" w:sz="4" w:space="0" w:color="auto"/>
            </w:tcBorders>
            <w:shd w:val="clear" w:color="auto" w:fill="auto"/>
            <w:noWrap/>
          </w:tcPr>
          <w:p w14:paraId="0A0BD567"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p>
        </w:tc>
        <w:tc>
          <w:tcPr>
            <w:tcW w:w="915" w:type="dxa"/>
            <w:tcBorders>
              <w:top w:val="nil"/>
              <w:left w:val="single" w:sz="4" w:space="0" w:color="auto"/>
              <w:bottom w:val="single" w:sz="4" w:space="0" w:color="000000"/>
              <w:right w:val="nil"/>
            </w:tcBorders>
            <w:shd w:val="clear" w:color="auto" w:fill="auto"/>
            <w:noWrap/>
          </w:tcPr>
          <w:p w14:paraId="03068A7E"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p>
        </w:tc>
        <w:tc>
          <w:tcPr>
            <w:tcW w:w="914" w:type="dxa"/>
            <w:tcBorders>
              <w:top w:val="nil"/>
              <w:left w:val="nil"/>
              <w:bottom w:val="single" w:sz="4" w:space="0" w:color="000000"/>
              <w:right w:val="nil"/>
            </w:tcBorders>
            <w:shd w:val="clear" w:color="auto" w:fill="auto"/>
            <w:noWrap/>
          </w:tcPr>
          <w:p w14:paraId="2CFBAE7C"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p>
        </w:tc>
        <w:tc>
          <w:tcPr>
            <w:tcW w:w="915" w:type="dxa"/>
            <w:tcBorders>
              <w:top w:val="nil"/>
              <w:left w:val="nil"/>
              <w:bottom w:val="single" w:sz="4" w:space="0" w:color="000000"/>
              <w:right w:val="single" w:sz="4" w:space="0" w:color="auto"/>
            </w:tcBorders>
            <w:shd w:val="clear" w:color="auto" w:fill="auto"/>
            <w:noWrap/>
          </w:tcPr>
          <w:p w14:paraId="4E61930E"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p>
        </w:tc>
      </w:tr>
      <w:tr w:rsidR="00B33D62" w:rsidRPr="009D376C" w14:paraId="606888DF" w14:textId="77777777" w:rsidTr="00B33D62">
        <w:trPr>
          <w:trHeight w:val="258"/>
        </w:trPr>
        <w:tc>
          <w:tcPr>
            <w:tcW w:w="1802" w:type="dxa"/>
            <w:tcBorders>
              <w:top w:val="nil"/>
              <w:left w:val="nil"/>
              <w:bottom w:val="nil"/>
              <w:right w:val="nil"/>
            </w:tcBorders>
            <w:shd w:val="clear" w:color="auto" w:fill="auto"/>
            <w:hideMark/>
          </w:tcPr>
          <w:p w14:paraId="6993A06C"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proofErr w:type="spellStart"/>
            <w:r w:rsidRPr="009D376C">
              <w:rPr>
                <w:rFonts w:asciiTheme="majorHAnsi" w:eastAsia="Times New Roman" w:hAnsiTheme="majorHAnsi" w:cstheme="majorHAnsi"/>
                <w:color w:val="000000"/>
                <w:sz w:val="20"/>
                <w:szCs w:val="20"/>
                <w:lang w:eastAsia="fi-FI"/>
              </w:rPr>
              <w:t>Nagelkerke</w:t>
            </w:r>
            <w:proofErr w:type="spellEnd"/>
          </w:p>
        </w:tc>
        <w:tc>
          <w:tcPr>
            <w:tcW w:w="914" w:type="dxa"/>
            <w:tcBorders>
              <w:top w:val="nil"/>
              <w:left w:val="nil"/>
              <w:bottom w:val="nil"/>
              <w:right w:val="nil"/>
            </w:tcBorders>
            <w:shd w:val="clear" w:color="auto" w:fill="auto"/>
            <w:noWrap/>
            <w:hideMark/>
          </w:tcPr>
          <w:p w14:paraId="5F7E3835"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0.059</w:t>
            </w:r>
          </w:p>
        </w:tc>
        <w:tc>
          <w:tcPr>
            <w:tcW w:w="914" w:type="dxa"/>
            <w:tcBorders>
              <w:top w:val="nil"/>
              <w:left w:val="nil"/>
              <w:bottom w:val="nil"/>
              <w:right w:val="nil"/>
            </w:tcBorders>
            <w:shd w:val="clear" w:color="auto" w:fill="auto"/>
            <w:noWrap/>
            <w:vAlign w:val="bottom"/>
            <w:hideMark/>
          </w:tcPr>
          <w:p w14:paraId="083F3574"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p>
        </w:tc>
        <w:tc>
          <w:tcPr>
            <w:tcW w:w="915" w:type="dxa"/>
            <w:tcBorders>
              <w:top w:val="nil"/>
              <w:left w:val="nil"/>
              <w:bottom w:val="nil"/>
              <w:right w:val="nil"/>
            </w:tcBorders>
            <w:shd w:val="clear" w:color="auto" w:fill="auto"/>
            <w:noWrap/>
            <w:vAlign w:val="bottom"/>
            <w:hideMark/>
          </w:tcPr>
          <w:p w14:paraId="7BF261B4"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c>
          <w:tcPr>
            <w:tcW w:w="914" w:type="dxa"/>
            <w:gridSpan w:val="2"/>
            <w:tcBorders>
              <w:top w:val="nil"/>
              <w:left w:val="nil"/>
              <w:bottom w:val="nil"/>
              <w:right w:val="nil"/>
            </w:tcBorders>
            <w:shd w:val="clear" w:color="auto" w:fill="auto"/>
            <w:noWrap/>
            <w:hideMark/>
          </w:tcPr>
          <w:p w14:paraId="1C9B29EF"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0.218</w:t>
            </w:r>
          </w:p>
        </w:tc>
        <w:tc>
          <w:tcPr>
            <w:tcW w:w="915" w:type="dxa"/>
            <w:tcBorders>
              <w:top w:val="nil"/>
              <w:left w:val="nil"/>
              <w:bottom w:val="nil"/>
              <w:right w:val="nil"/>
            </w:tcBorders>
            <w:shd w:val="clear" w:color="auto" w:fill="auto"/>
            <w:noWrap/>
            <w:vAlign w:val="bottom"/>
            <w:hideMark/>
          </w:tcPr>
          <w:p w14:paraId="07A46CE6"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p>
        </w:tc>
        <w:tc>
          <w:tcPr>
            <w:tcW w:w="914" w:type="dxa"/>
            <w:gridSpan w:val="2"/>
            <w:tcBorders>
              <w:top w:val="nil"/>
              <w:left w:val="nil"/>
              <w:bottom w:val="nil"/>
              <w:right w:val="nil"/>
            </w:tcBorders>
            <w:shd w:val="clear" w:color="auto" w:fill="auto"/>
            <w:noWrap/>
            <w:vAlign w:val="bottom"/>
            <w:hideMark/>
          </w:tcPr>
          <w:p w14:paraId="49F27A70"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c>
          <w:tcPr>
            <w:tcW w:w="915" w:type="dxa"/>
            <w:tcBorders>
              <w:top w:val="nil"/>
              <w:left w:val="nil"/>
              <w:bottom w:val="nil"/>
              <w:right w:val="nil"/>
            </w:tcBorders>
            <w:shd w:val="clear" w:color="auto" w:fill="auto"/>
            <w:noWrap/>
            <w:hideMark/>
          </w:tcPr>
          <w:p w14:paraId="764FEE14"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0.038</w:t>
            </w:r>
          </w:p>
        </w:tc>
        <w:tc>
          <w:tcPr>
            <w:tcW w:w="914" w:type="dxa"/>
            <w:tcBorders>
              <w:top w:val="nil"/>
              <w:left w:val="nil"/>
              <w:bottom w:val="nil"/>
              <w:right w:val="nil"/>
            </w:tcBorders>
            <w:shd w:val="clear" w:color="auto" w:fill="auto"/>
            <w:noWrap/>
            <w:vAlign w:val="bottom"/>
            <w:hideMark/>
          </w:tcPr>
          <w:p w14:paraId="736D7BD6"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p>
        </w:tc>
        <w:tc>
          <w:tcPr>
            <w:tcW w:w="915" w:type="dxa"/>
            <w:tcBorders>
              <w:top w:val="nil"/>
              <w:left w:val="nil"/>
              <w:bottom w:val="nil"/>
              <w:right w:val="nil"/>
            </w:tcBorders>
            <w:shd w:val="clear" w:color="auto" w:fill="auto"/>
            <w:noWrap/>
            <w:vAlign w:val="bottom"/>
            <w:hideMark/>
          </w:tcPr>
          <w:p w14:paraId="4A34A346"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r>
      <w:tr w:rsidR="00B33D62" w:rsidRPr="009D376C" w14:paraId="3766569E" w14:textId="77777777" w:rsidTr="00B33D62">
        <w:trPr>
          <w:trHeight w:val="258"/>
        </w:trPr>
        <w:tc>
          <w:tcPr>
            <w:tcW w:w="1802" w:type="dxa"/>
            <w:tcBorders>
              <w:top w:val="nil"/>
              <w:left w:val="nil"/>
              <w:bottom w:val="nil"/>
              <w:right w:val="nil"/>
            </w:tcBorders>
            <w:shd w:val="clear" w:color="auto" w:fill="auto"/>
            <w:hideMark/>
          </w:tcPr>
          <w:p w14:paraId="2557C80D"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Cox &amp; Snell</w:t>
            </w:r>
          </w:p>
        </w:tc>
        <w:tc>
          <w:tcPr>
            <w:tcW w:w="914" w:type="dxa"/>
            <w:tcBorders>
              <w:top w:val="nil"/>
              <w:left w:val="nil"/>
              <w:bottom w:val="nil"/>
              <w:right w:val="nil"/>
            </w:tcBorders>
            <w:shd w:val="clear" w:color="auto" w:fill="auto"/>
            <w:noWrap/>
            <w:hideMark/>
          </w:tcPr>
          <w:p w14:paraId="33A269EC"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0.044</w:t>
            </w:r>
          </w:p>
        </w:tc>
        <w:tc>
          <w:tcPr>
            <w:tcW w:w="914" w:type="dxa"/>
            <w:tcBorders>
              <w:top w:val="nil"/>
              <w:left w:val="nil"/>
              <w:bottom w:val="nil"/>
              <w:right w:val="nil"/>
            </w:tcBorders>
            <w:shd w:val="clear" w:color="auto" w:fill="auto"/>
            <w:noWrap/>
            <w:vAlign w:val="bottom"/>
            <w:hideMark/>
          </w:tcPr>
          <w:p w14:paraId="78C65C58"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p>
        </w:tc>
        <w:tc>
          <w:tcPr>
            <w:tcW w:w="915" w:type="dxa"/>
            <w:tcBorders>
              <w:top w:val="nil"/>
              <w:left w:val="nil"/>
              <w:bottom w:val="nil"/>
              <w:right w:val="nil"/>
            </w:tcBorders>
            <w:shd w:val="clear" w:color="auto" w:fill="auto"/>
            <w:noWrap/>
            <w:vAlign w:val="bottom"/>
            <w:hideMark/>
          </w:tcPr>
          <w:p w14:paraId="6CD1A576"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c>
          <w:tcPr>
            <w:tcW w:w="914" w:type="dxa"/>
            <w:gridSpan w:val="2"/>
            <w:tcBorders>
              <w:top w:val="nil"/>
              <w:left w:val="nil"/>
              <w:bottom w:val="nil"/>
              <w:right w:val="nil"/>
            </w:tcBorders>
            <w:shd w:val="clear" w:color="auto" w:fill="auto"/>
            <w:noWrap/>
            <w:hideMark/>
          </w:tcPr>
          <w:p w14:paraId="41C585B2"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0.151</w:t>
            </w:r>
          </w:p>
        </w:tc>
        <w:tc>
          <w:tcPr>
            <w:tcW w:w="915" w:type="dxa"/>
            <w:tcBorders>
              <w:top w:val="nil"/>
              <w:left w:val="nil"/>
              <w:bottom w:val="nil"/>
              <w:right w:val="nil"/>
            </w:tcBorders>
            <w:shd w:val="clear" w:color="auto" w:fill="auto"/>
            <w:noWrap/>
            <w:vAlign w:val="bottom"/>
            <w:hideMark/>
          </w:tcPr>
          <w:p w14:paraId="51A6D1CF"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p>
        </w:tc>
        <w:tc>
          <w:tcPr>
            <w:tcW w:w="914" w:type="dxa"/>
            <w:gridSpan w:val="2"/>
            <w:tcBorders>
              <w:top w:val="nil"/>
              <w:left w:val="nil"/>
              <w:bottom w:val="nil"/>
              <w:right w:val="nil"/>
            </w:tcBorders>
            <w:shd w:val="clear" w:color="auto" w:fill="auto"/>
            <w:noWrap/>
            <w:vAlign w:val="bottom"/>
            <w:hideMark/>
          </w:tcPr>
          <w:p w14:paraId="07CBCB5E"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c>
          <w:tcPr>
            <w:tcW w:w="915" w:type="dxa"/>
            <w:tcBorders>
              <w:top w:val="nil"/>
              <w:left w:val="nil"/>
              <w:bottom w:val="nil"/>
              <w:right w:val="nil"/>
            </w:tcBorders>
            <w:shd w:val="clear" w:color="auto" w:fill="auto"/>
            <w:noWrap/>
            <w:hideMark/>
          </w:tcPr>
          <w:p w14:paraId="30458E78"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0.025</w:t>
            </w:r>
          </w:p>
        </w:tc>
        <w:tc>
          <w:tcPr>
            <w:tcW w:w="914" w:type="dxa"/>
            <w:tcBorders>
              <w:top w:val="nil"/>
              <w:left w:val="nil"/>
              <w:bottom w:val="nil"/>
              <w:right w:val="nil"/>
            </w:tcBorders>
            <w:shd w:val="clear" w:color="auto" w:fill="auto"/>
            <w:noWrap/>
            <w:vAlign w:val="bottom"/>
            <w:hideMark/>
          </w:tcPr>
          <w:p w14:paraId="777769B5"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p>
        </w:tc>
        <w:tc>
          <w:tcPr>
            <w:tcW w:w="915" w:type="dxa"/>
            <w:tcBorders>
              <w:top w:val="nil"/>
              <w:left w:val="nil"/>
              <w:bottom w:val="nil"/>
              <w:right w:val="nil"/>
            </w:tcBorders>
            <w:shd w:val="clear" w:color="auto" w:fill="auto"/>
            <w:noWrap/>
            <w:vAlign w:val="bottom"/>
            <w:hideMark/>
          </w:tcPr>
          <w:p w14:paraId="3B1F35F9"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r>
      <w:tr w:rsidR="00B33D62" w:rsidRPr="009D376C" w14:paraId="0FB2DC67" w14:textId="77777777" w:rsidTr="00B33D62">
        <w:trPr>
          <w:trHeight w:val="258"/>
        </w:trPr>
        <w:tc>
          <w:tcPr>
            <w:tcW w:w="1802" w:type="dxa"/>
            <w:tcBorders>
              <w:top w:val="nil"/>
              <w:left w:val="nil"/>
              <w:bottom w:val="nil"/>
              <w:right w:val="nil"/>
            </w:tcBorders>
            <w:shd w:val="clear" w:color="auto" w:fill="auto"/>
            <w:hideMark/>
          </w:tcPr>
          <w:p w14:paraId="6C15B7F9"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Likelihood Ratio Chi²</w:t>
            </w:r>
          </w:p>
        </w:tc>
        <w:tc>
          <w:tcPr>
            <w:tcW w:w="914" w:type="dxa"/>
            <w:tcBorders>
              <w:top w:val="nil"/>
              <w:left w:val="nil"/>
              <w:bottom w:val="nil"/>
              <w:right w:val="nil"/>
            </w:tcBorders>
            <w:shd w:val="clear" w:color="auto" w:fill="auto"/>
            <w:noWrap/>
            <w:hideMark/>
          </w:tcPr>
          <w:p w14:paraId="183FBDBA"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142.8***</w:t>
            </w:r>
          </w:p>
        </w:tc>
        <w:tc>
          <w:tcPr>
            <w:tcW w:w="914" w:type="dxa"/>
            <w:tcBorders>
              <w:top w:val="nil"/>
              <w:left w:val="nil"/>
              <w:bottom w:val="nil"/>
              <w:right w:val="nil"/>
            </w:tcBorders>
            <w:shd w:val="clear" w:color="auto" w:fill="auto"/>
            <w:noWrap/>
            <w:vAlign w:val="bottom"/>
            <w:hideMark/>
          </w:tcPr>
          <w:p w14:paraId="605E3C32"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p>
        </w:tc>
        <w:tc>
          <w:tcPr>
            <w:tcW w:w="915" w:type="dxa"/>
            <w:tcBorders>
              <w:top w:val="nil"/>
              <w:left w:val="nil"/>
              <w:bottom w:val="nil"/>
              <w:right w:val="nil"/>
            </w:tcBorders>
            <w:shd w:val="clear" w:color="auto" w:fill="auto"/>
            <w:noWrap/>
            <w:vAlign w:val="bottom"/>
            <w:hideMark/>
          </w:tcPr>
          <w:p w14:paraId="1A3829C6" w14:textId="77777777" w:rsidR="00B33D62" w:rsidRPr="009D376C" w:rsidRDefault="00B33D62" w:rsidP="0019543A">
            <w:pPr>
              <w:spacing w:line="240" w:lineRule="auto"/>
              <w:rPr>
                <w:rFonts w:asciiTheme="majorHAnsi" w:eastAsia="Times New Roman" w:hAnsiTheme="majorHAnsi" w:cstheme="majorHAnsi"/>
                <w:b/>
                <w:sz w:val="20"/>
                <w:szCs w:val="20"/>
                <w:lang w:eastAsia="fi-FI"/>
              </w:rPr>
            </w:pPr>
          </w:p>
        </w:tc>
        <w:tc>
          <w:tcPr>
            <w:tcW w:w="914" w:type="dxa"/>
            <w:gridSpan w:val="2"/>
            <w:tcBorders>
              <w:top w:val="nil"/>
              <w:left w:val="nil"/>
              <w:bottom w:val="nil"/>
              <w:right w:val="nil"/>
            </w:tcBorders>
            <w:shd w:val="clear" w:color="auto" w:fill="auto"/>
            <w:noWrap/>
            <w:hideMark/>
          </w:tcPr>
          <w:p w14:paraId="77A76213" w14:textId="77777777" w:rsidR="00B33D62" w:rsidRPr="009D376C" w:rsidRDefault="00B33D62" w:rsidP="0019543A">
            <w:pPr>
              <w:spacing w:line="240" w:lineRule="auto"/>
              <w:rPr>
                <w:rFonts w:asciiTheme="majorHAnsi" w:eastAsia="Times New Roman" w:hAnsiTheme="majorHAnsi" w:cstheme="majorHAnsi"/>
                <w:b/>
                <w:color w:val="000000"/>
                <w:sz w:val="20"/>
                <w:szCs w:val="20"/>
                <w:lang w:eastAsia="fi-FI"/>
              </w:rPr>
            </w:pPr>
            <w:r w:rsidRPr="009D376C">
              <w:rPr>
                <w:rFonts w:asciiTheme="majorHAnsi" w:eastAsia="Times New Roman" w:hAnsiTheme="majorHAnsi" w:cstheme="majorHAnsi"/>
                <w:b/>
                <w:color w:val="000000"/>
                <w:sz w:val="20"/>
                <w:szCs w:val="20"/>
                <w:lang w:eastAsia="fi-FI"/>
              </w:rPr>
              <w:t>197.5***</w:t>
            </w:r>
          </w:p>
        </w:tc>
        <w:tc>
          <w:tcPr>
            <w:tcW w:w="915" w:type="dxa"/>
            <w:tcBorders>
              <w:top w:val="nil"/>
              <w:left w:val="nil"/>
              <w:bottom w:val="nil"/>
              <w:right w:val="nil"/>
            </w:tcBorders>
            <w:shd w:val="clear" w:color="auto" w:fill="auto"/>
            <w:noWrap/>
            <w:vAlign w:val="bottom"/>
            <w:hideMark/>
          </w:tcPr>
          <w:p w14:paraId="6B6A683D"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p>
        </w:tc>
        <w:tc>
          <w:tcPr>
            <w:tcW w:w="914" w:type="dxa"/>
            <w:gridSpan w:val="2"/>
            <w:tcBorders>
              <w:top w:val="nil"/>
              <w:left w:val="nil"/>
              <w:bottom w:val="nil"/>
              <w:right w:val="nil"/>
            </w:tcBorders>
            <w:shd w:val="clear" w:color="auto" w:fill="auto"/>
            <w:noWrap/>
            <w:vAlign w:val="bottom"/>
            <w:hideMark/>
          </w:tcPr>
          <w:p w14:paraId="6C2DD761"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c>
          <w:tcPr>
            <w:tcW w:w="915" w:type="dxa"/>
            <w:tcBorders>
              <w:top w:val="nil"/>
              <w:left w:val="nil"/>
              <w:bottom w:val="nil"/>
              <w:right w:val="nil"/>
            </w:tcBorders>
            <w:shd w:val="clear" w:color="auto" w:fill="auto"/>
            <w:noWrap/>
            <w:hideMark/>
          </w:tcPr>
          <w:p w14:paraId="35ACA1BE"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12.8</w:t>
            </w:r>
          </w:p>
        </w:tc>
        <w:tc>
          <w:tcPr>
            <w:tcW w:w="914" w:type="dxa"/>
            <w:tcBorders>
              <w:top w:val="nil"/>
              <w:left w:val="nil"/>
              <w:bottom w:val="nil"/>
              <w:right w:val="nil"/>
            </w:tcBorders>
            <w:shd w:val="clear" w:color="auto" w:fill="auto"/>
            <w:noWrap/>
            <w:vAlign w:val="bottom"/>
            <w:hideMark/>
          </w:tcPr>
          <w:p w14:paraId="3AC5D974"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p>
        </w:tc>
        <w:tc>
          <w:tcPr>
            <w:tcW w:w="915" w:type="dxa"/>
            <w:tcBorders>
              <w:top w:val="nil"/>
              <w:left w:val="nil"/>
              <w:bottom w:val="nil"/>
              <w:right w:val="nil"/>
            </w:tcBorders>
            <w:shd w:val="clear" w:color="auto" w:fill="auto"/>
            <w:noWrap/>
            <w:vAlign w:val="bottom"/>
            <w:hideMark/>
          </w:tcPr>
          <w:p w14:paraId="53341267"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r>
      <w:tr w:rsidR="00B33D62" w:rsidRPr="009D376C" w14:paraId="365DABDE" w14:textId="77777777" w:rsidTr="00B33D62">
        <w:trPr>
          <w:trHeight w:val="258"/>
        </w:trPr>
        <w:tc>
          <w:tcPr>
            <w:tcW w:w="1802" w:type="dxa"/>
            <w:tcBorders>
              <w:top w:val="nil"/>
              <w:left w:val="nil"/>
              <w:bottom w:val="single" w:sz="4" w:space="0" w:color="auto"/>
              <w:right w:val="nil"/>
            </w:tcBorders>
            <w:shd w:val="clear" w:color="auto" w:fill="auto"/>
            <w:hideMark/>
          </w:tcPr>
          <w:p w14:paraId="5BBE0CDF"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Valid N</w:t>
            </w:r>
          </w:p>
        </w:tc>
        <w:tc>
          <w:tcPr>
            <w:tcW w:w="914" w:type="dxa"/>
            <w:tcBorders>
              <w:top w:val="nil"/>
              <w:left w:val="nil"/>
              <w:bottom w:val="single" w:sz="4" w:space="0" w:color="auto"/>
              <w:right w:val="nil"/>
            </w:tcBorders>
            <w:shd w:val="clear" w:color="auto" w:fill="auto"/>
            <w:noWrap/>
            <w:hideMark/>
          </w:tcPr>
          <w:p w14:paraId="25009C5B"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3200</w:t>
            </w:r>
          </w:p>
        </w:tc>
        <w:tc>
          <w:tcPr>
            <w:tcW w:w="914" w:type="dxa"/>
            <w:tcBorders>
              <w:top w:val="nil"/>
              <w:left w:val="nil"/>
              <w:bottom w:val="single" w:sz="4" w:space="0" w:color="auto"/>
              <w:right w:val="nil"/>
            </w:tcBorders>
            <w:shd w:val="clear" w:color="auto" w:fill="auto"/>
            <w:noWrap/>
            <w:vAlign w:val="bottom"/>
            <w:hideMark/>
          </w:tcPr>
          <w:p w14:paraId="237B24A1"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p>
        </w:tc>
        <w:tc>
          <w:tcPr>
            <w:tcW w:w="915" w:type="dxa"/>
            <w:tcBorders>
              <w:top w:val="nil"/>
              <w:left w:val="nil"/>
              <w:bottom w:val="single" w:sz="4" w:space="0" w:color="auto"/>
              <w:right w:val="nil"/>
            </w:tcBorders>
            <w:shd w:val="clear" w:color="auto" w:fill="auto"/>
            <w:noWrap/>
            <w:vAlign w:val="bottom"/>
            <w:hideMark/>
          </w:tcPr>
          <w:p w14:paraId="4638F899"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c>
          <w:tcPr>
            <w:tcW w:w="914" w:type="dxa"/>
            <w:gridSpan w:val="2"/>
            <w:tcBorders>
              <w:top w:val="nil"/>
              <w:left w:val="nil"/>
              <w:bottom w:val="single" w:sz="4" w:space="0" w:color="auto"/>
              <w:right w:val="nil"/>
            </w:tcBorders>
            <w:shd w:val="clear" w:color="auto" w:fill="auto"/>
            <w:noWrap/>
            <w:hideMark/>
          </w:tcPr>
          <w:p w14:paraId="12A5E3B2"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1204</w:t>
            </w:r>
          </w:p>
        </w:tc>
        <w:tc>
          <w:tcPr>
            <w:tcW w:w="915" w:type="dxa"/>
            <w:tcBorders>
              <w:top w:val="nil"/>
              <w:left w:val="nil"/>
              <w:bottom w:val="single" w:sz="4" w:space="0" w:color="auto"/>
              <w:right w:val="nil"/>
            </w:tcBorders>
            <w:shd w:val="clear" w:color="auto" w:fill="auto"/>
            <w:noWrap/>
            <w:vAlign w:val="bottom"/>
            <w:hideMark/>
          </w:tcPr>
          <w:p w14:paraId="011CDC8A"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p>
        </w:tc>
        <w:tc>
          <w:tcPr>
            <w:tcW w:w="914" w:type="dxa"/>
            <w:gridSpan w:val="2"/>
            <w:tcBorders>
              <w:top w:val="nil"/>
              <w:left w:val="nil"/>
              <w:bottom w:val="single" w:sz="4" w:space="0" w:color="auto"/>
              <w:right w:val="nil"/>
            </w:tcBorders>
            <w:shd w:val="clear" w:color="auto" w:fill="auto"/>
            <w:noWrap/>
            <w:vAlign w:val="bottom"/>
            <w:hideMark/>
          </w:tcPr>
          <w:p w14:paraId="4B454870"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c>
          <w:tcPr>
            <w:tcW w:w="915" w:type="dxa"/>
            <w:tcBorders>
              <w:top w:val="nil"/>
              <w:left w:val="nil"/>
              <w:bottom w:val="single" w:sz="4" w:space="0" w:color="auto"/>
              <w:right w:val="nil"/>
            </w:tcBorders>
            <w:shd w:val="clear" w:color="auto" w:fill="auto"/>
            <w:noWrap/>
            <w:hideMark/>
          </w:tcPr>
          <w:p w14:paraId="3BF8D445" w14:textId="77777777" w:rsidR="00B33D62" w:rsidRPr="009D376C" w:rsidRDefault="00B33D62" w:rsidP="0019543A">
            <w:pPr>
              <w:spacing w:line="240" w:lineRule="auto"/>
              <w:rPr>
                <w:rFonts w:asciiTheme="majorHAnsi" w:eastAsia="Times New Roman" w:hAnsiTheme="majorHAnsi" w:cstheme="majorHAnsi"/>
                <w:color w:val="000000"/>
                <w:sz w:val="20"/>
                <w:szCs w:val="20"/>
                <w:lang w:eastAsia="fi-FI"/>
              </w:rPr>
            </w:pPr>
            <w:r w:rsidRPr="009D376C">
              <w:rPr>
                <w:rFonts w:asciiTheme="majorHAnsi" w:eastAsia="Times New Roman" w:hAnsiTheme="majorHAnsi" w:cstheme="majorHAnsi"/>
                <w:color w:val="000000"/>
                <w:sz w:val="20"/>
                <w:szCs w:val="20"/>
                <w:lang w:eastAsia="fi-FI"/>
              </w:rPr>
              <w:t>511</w:t>
            </w:r>
          </w:p>
        </w:tc>
        <w:tc>
          <w:tcPr>
            <w:tcW w:w="914" w:type="dxa"/>
            <w:tcBorders>
              <w:top w:val="nil"/>
              <w:left w:val="nil"/>
              <w:bottom w:val="single" w:sz="4" w:space="0" w:color="auto"/>
              <w:right w:val="nil"/>
            </w:tcBorders>
            <w:shd w:val="clear" w:color="auto" w:fill="auto"/>
            <w:noWrap/>
            <w:vAlign w:val="bottom"/>
            <w:hideMark/>
          </w:tcPr>
          <w:p w14:paraId="53F4295E" w14:textId="77777777" w:rsidR="00B33D62" w:rsidRPr="009D376C" w:rsidRDefault="00B33D62" w:rsidP="0019543A">
            <w:pPr>
              <w:spacing w:line="240" w:lineRule="auto"/>
              <w:jc w:val="right"/>
              <w:rPr>
                <w:rFonts w:asciiTheme="majorHAnsi" w:eastAsia="Times New Roman" w:hAnsiTheme="majorHAnsi" w:cstheme="majorHAnsi"/>
                <w:color w:val="000000"/>
                <w:sz w:val="20"/>
                <w:szCs w:val="20"/>
                <w:lang w:eastAsia="fi-FI"/>
              </w:rPr>
            </w:pPr>
          </w:p>
        </w:tc>
        <w:tc>
          <w:tcPr>
            <w:tcW w:w="915" w:type="dxa"/>
            <w:tcBorders>
              <w:top w:val="nil"/>
              <w:left w:val="nil"/>
              <w:bottom w:val="single" w:sz="4" w:space="0" w:color="auto"/>
              <w:right w:val="nil"/>
            </w:tcBorders>
            <w:shd w:val="clear" w:color="auto" w:fill="auto"/>
            <w:noWrap/>
            <w:vAlign w:val="bottom"/>
            <w:hideMark/>
          </w:tcPr>
          <w:p w14:paraId="58E3CDDE" w14:textId="77777777" w:rsidR="00B33D62" w:rsidRPr="009D376C" w:rsidRDefault="00B33D62" w:rsidP="0019543A">
            <w:pPr>
              <w:spacing w:line="240" w:lineRule="auto"/>
              <w:rPr>
                <w:rFonts w:asciiTheme="majorHAnsi" w:eastAsia="Times New Roman" w:hAnsiTheme="majorHAnsi" w:cstheme="majorHAnsi"/>
                <w:sz w:val="20"/>
                <w:szCs w:val="20"/>
                <w:lang w:eastAsia="fi-FI"/>
              </w:rPr>
            </w:pPr>
          </w:p>
        </w:tc>
      </w:tr>
    </w:tbl>
    <w:p w14:paraId="429744E8" w14:textId="77777777" w:rsidR="00BA21C0" w:rsidRPr="00B33D62" w:rsidRDefault="00BA21C0" w:rsidP="00BA21C0">
      <w:pPr>
        <w:rPr>
          <w:sz w:val="20"/>
        </w:rPr>
      </w:pPr>
      <w:r w:rsidRPr="00B33D62">
        <w:rPr>
          <w:sz w:val="20"/>
        </w:rPr>
        <w:t>+</w:t>
      </w:r>
      <w:r w:rsidRPr="00B33D62">
        <w:rPr>
          <w:i/>
          <w:iCs/>
          <w:sz w:val="20"/>
        </w:rPr>
        <w:t xml:space="preserve">p </w:t>
      </w:r>
      <w:r w:rsidRPr="00B33D62">
        <w:rPr>
          <w:sz w:val="20"/>
        </w:rPr>
        <w:t>&lt; .10.</w:t>
      </w:r>
      <w:r w:rsidR="00B33D62" w:rsidRPr="00B33D62">
        <w:rPr>
          <w:sz w:val="20"/>
        </w:rPr>
        <w:t xml:space="preserve"> </w:t>
      </w:r>
      <w:r w:rsidRPr="00B33D62">
        <w:rPr>
          <w:sz w:val="20"/>
        </w:rPr>
        <w:t>*</w:t>
      </w:r>
      <w:r w:rsidRPr="00B33D62">
        <w:rPr>
          <w:i/>
          <w:iCs/>
          <w:sz w:val="20"/>
        </w:rPr>
        <w:t xml:space="preserve">p </w:t>
      </w:r>
      <w:r w:rsidRPr="00B33D62">
        <w:rPr>
          <w:sz w:val="20"/>
        </w:rPr>
        <w:t>&lt; .05.</w:t>
      </w:r>
      <w:r w:rsidR="00B33D62" w:rsidRPr="00B33D62">
        <w:rPr>
          <w:sz w:val="20"/>
        </w:rPr>
        <w:t xml:space="preserve"> </w:t>
      </w:r>
      <w:r w:rsidRPr="00B33D62">
        <w:rPr>
          <w:sz w:val="20"/>
        </w:rPr>
        <w:t>**</w:t>
      </w:r>
      <w:r w:rsidRPr="00B33D62">
        <w:rPr>
          <w:i/>
          <w:iCs/>
          <w:sz w:val="20"/>
        </w:rPr>
        <w:t xml:space="preserve">p </w:t>
      </w:r>
      <w:r w:rsidRPr="00B33D62">
        <w:rPr>
          <w:sz w:val="20"/>
        </w:rPr>
        <w:t>&lt; .01.</w:t>
      </w:r>
      <w:r w:rsidR="00B33D62" w:rsidRPr="00B33D62">
        <w:rPr>
          <w:sz w:val="20"/>
        </w:rPr>
        <w:t xml:space="preserve"> </w:t>
      </w:r>
      <w:r w:rsidRPr="00B33D62">
        <w:rPr>
          <w:sz w:val="20"/>
        </w:rPr>
        <w:t>***</w:t>
      </w:r>
      <w:r w:rsidRPr="00B33D62">
        <w:rPr>
          <w:i/>
          <w:iCs/>
          <w:sz w:val="20"/>
        </w:rPr>
        <w:t xml:space="preserve">p </w:t>
      </w:r>
      <w:r w:rsidRPr="00B33D62">
        <w:rPr>
          <w:sz w:val="20"/>
        </w:rPr>
        <w:t>&lt; .001.</w:t>
      </w:r>
    </w:p>
    <w:p w14:paraId="403B4947" w14:textId="77777777" w:rsidR="00BA21C0" w:rsidRPr="0058233D" w:rsidRDefault="00BA21C0" w:rsidP="00BA21C0">
      <w:pPr>
        <w:rPr>
          <w:color w:val="4472C4" w:themeColor="accent5"/>
          <w:lang w:val="en-US"/>
        </w:rPr>
      </w:pPr>
      <w:r w:rsidRPr="009D376C">
        <w:rPr>
          <w:lang w:val="en-US"/>
        </w:rPr>
        <w:lastRenderedPageBreak/>
        <w:t xml:space="preserve">As expected both age and education were associated with cooperation as well as online response. Older people showed better overall cooperation although they clearly preferred to give their response via paper questionnaire. What is somewhat surprising was that the older respondents were also more reluctant in redeeming the chocolate bar they would have been entitled to. Respondents living in rural municipalities showed a similar result which can be explained by the lack of a local R-kiosk, where the code could have been redeemed. Non-Finnish speakers were also found less likely to cooperate and redeemed the incentive less often than other </w:t>
      </w:r>
      <w:r w:rsidRPr="00DD7691">
        <w:rPr>
          <w:lang w:val="en-US"/>
        </w:rPr>
        <w:t>respondents.</w:t>
      </w:r>
      <w:r w:rsidR="003F740E" w:rsidRPr="00DD7691">
        <w:rPr>
          <w:lang w:val="en-US"/>
        </w:rPr>
        <w:t xml:space="preserve"> The lower cooperation of this group can be at least partially explained by the fact that the survey was administered only in Finnish and Swedish, though this does not explain their unwillingness to rede</w:t>
      </w:r>
      <w:r w:rsidR="0058233D" w:rsidRPr="00DD7691">
        <w:rPr>
          <w:lang w:val="en-US"/>
        </w:rPr>
        <w:t>e</w:t>
      </w:r>
      <w:r w:rsidR="003F740E" w:rsidRPr="00DD7691">
        <w:rPr>
          <w:lang w:val="en-US"/>
        </w:rPr>
        <w:t>m the incentive</w:t>
      </w:r>
      <w:r w:rsidR="0058233D" w:rsidRPr="00DD7691">
        <w:rPr>
          <w:lang w:val="en-US"/>
        </w:rPr>
        <w:t xml:space="preserve"> (since they already responded to the questionnaire!)</w:t>
      </w:r>
      <w:r w:rsidR="003F740E" w:rsidRPr="00DD7691">
        <w:rPr>
          <w:lang w:val="en-US"/>
        </w:rPr>
        <w:t xml:space="preserve">. </w:t>
      </w:r>
      <w:r w:rsidRPr="00DD7691">
        <w:rPr>
          <w:lang w:val="en-US"/>
        </w:rPr>
        <w:t xml:space="preserve"> Men </w:t>
      </w:r>
      <w:r w:rsidRPr="009D376C">
        <w:rPr>
          <w:lang w:val="en-US"/>
        </w:rPr>
        <w:t xml:space="preserve">were also found less likely to participate whereas their willingness to use the online questionnaire did not differ from women. </w:t>
      </w:r>
    </w:p>
    <w:p w14:paraId="3D771032" w14:textId="77777777" w:rsidR="00BA21C0" w:rsidRPr="009D376C" w:rsidRDefault="00BA21C0" w:rsidP="00B33D62">
      <w:pPr>
        <w:pStyle w:val="Otsikko3"/>
        <w:rPr>
          <w:lang w:val="en-US"/>
        </w:rPr>
      </w:pPr>
      <w:r>
        <w:rPr>
          <w:lang w:val="en-US"/>
        </w:rPr>
        <w:t>Non-response bias</w:t>
      </w:r>
    </w:p>
    <w:p w14:paraId="1BB51B1E" w14:textId="77777777" w:rsidR="00BA21C0" w:rsidRPr="009D376C" w:rsidRDefault="00BA21C0" w:rsidP="00BA21C0">
      <w:pPr>
        <w:rPr>
          <w:lang w:val="en-US"/>
        </w:rPr>
      </w:pPr>
      <w:r w:rsidRPr="009D376C">
        <w:rPr>
          <w:lang w:val="en-US"/>
        </w:rPr>
        <w:t xml:space="preserve">We also ran two distinct response propensity models with frame variables (gender, age, type of municipality, language, education and e-mail address) for both groups separately in order to assess the overall bias of both sub-samples. Following the suggestion of </w:t>
      </w:r>
      <w:proofErr w:type="spellStart"/>
      <w:r w:rsidRPr="009D376C">
        <w:rPr>
          <w:lang w:val="en-US"/>
        </w:rPr>
        <w:t>Betlehem</w:t>
      </w:r>
      <w:proofErr w:type="spellEnd"/>
      <w:r w:rsidRPr="009D376C">
        <w:rPr>
          <w:lang w:val="en-US"/>
        </w:rPr>
        <w:t xml:space="preserve">, </w:t>
      </w:r>
      <w:proofErr w:type="spellStart"/>
      <w:r w:rsidRPr="009D376C">
        <w:rPr>
          <w:lang w:val="en-US"/>
        </w:rPr>
        <w:t>Cobben</w:t>
      </w:r>
      <w:proofErr w:type="spellEnd"/>
      <w:r w:rsidRPr="009D376C">
        <w:rPr>
          <w:lang w:val="en-US"/>
        </w:rPr>
        <w:t xml:space="preserve"> &amp; Schouten (2011, 138) we can assess the net effect of each frame variable on the response in different sub-samples. </w:t>
      </w:r>
    </w:p>
    <w:p w14:paraId="0DDE1648" w14:textId="77777777" w:rsidR="00BA21C0" w:rsidRPr="009D376C" w:rsidRDefault="00BA21C0" w:rsidP="00BA21C0">
      <w:pPr>
        <w:rPr>
          <w:lang w:val="en-US"/>
        </w:rPr>
      </w:pPr>
      <w:r w:rsidRPr="009D376C">
        <w:rPr>
          <w:lang w:val="en-US"/>
        </w:rPr>
        <w:t xml:space="preserve">First and </w:t>
      </w:r>
      <w:proofErr w:type="gramStart"/>
      <w:r w:rsidRPr="009D376C">
        <w:rPr>
          <w:lang w:val="en-US"/>
        </w:rPr>
        <w:t>foremost</w:t>
      </w:r>
      <w:proofErr w:type="gramEnd"/>
      <w:r w:rsidRPr="009D376C">
        <w:rPr>
          <w:lang w:val="en-US"/>
        </w:rPr>
        <w:t xml:space="preserve"> it is worth noticing that the models do not fit well in neither of the sub-samples, which is good news since a good fit would indicate a strongly biased response. Respondent education and age group are most strongly associated with response in both models, though the observed change between sub-groups seem puzzling. The effect of education (both level and field of study) is found greatly reduced with the introduction of the incentive indicating, that the incentive may have encouraged less educated to respond. At the same time however we also observe a slight increase in the contribution of age and language groups as well as the availability of an e-mail address. Women and especially younger people may have been more receptive to the incentive while the latter finding can be explained by the fact that we were able to motivate the respondent better by mentioning the chocolate incentive in the e-mail reminder, which was perhaps seen less motivating among the control group </w:t>
      </w:r>
      <w:r w:rsidRPr="009D376C">
        <w:rPr>
          <w:lang w:val="en-US"/>
        </w:rPr>
        <w:lastRenderedPageBreak/>
        <w:t xml:space="preserve">respondents. At any case these results on overall representativeness are ambiguous at best. </w:t>
      </w:r>
    </w:p>
    <w:p w14:paraId="1C098D78" w14:textId="4C097C4F" w:rsidR="00B33D62" w:rsidRDefault="00B33D62">
      <w:pPr>
        <w:spacing w:before="0" w:after="160" w:line="259" w:lineRule="auto"/>
        <w:jc w:val="left"/>
        <w:rPr>
          <w:lang w:val="en-US"/>
        </w:rPr>
      </w:pPr>
    </w:p>
    <w:p w14:paraId="3584E8BF" w14:textId="77777777" w:rsidR="00BA21C0" w:rsidRPr="009D376C" w:rsidRDefault="00BA21C0" w:rsidP="00BA21C0">
      <w:pPr>
        <w:rPr>
          <w:lang w:val="en-US"/>
        </w:rPr>
      </w:pPr>
      <w:r w:rsidRPr="009D376C">
        <w:rPr>
          <w:lang w:val="en-US"/>
        </w:rPr>
        <w:t>Table 3. Multivariate analysis of response behavior in the incentive and control group.</w:t>
      </w:r>
    </w:p>
    <w:tbl>
      <w:tblPr>
        <w:tblW w:w="6204" w:type="dxa"/>
        <w:jc w:val="center"/>
        <w:tblCellMar>
          <w:left w:w="70" w:type="dxa"/>
          <w:right w:w="70" w:type="dxa"/>
        </w:tblCellMar>
        <w:tblLook w:val="04A0" w:firstRow="1" w:lastRow="0" w:firstColumn="1" w:lastColumn="0" w:noHBand="0" w:noVBand="1"/>
      </w:tblPr>
      <w:tblGrid>
        <w:gridCol w:w="2915"/>
        <w:gridCol w:w="1738"/>
        <w:gridCol w:w="1551"/>
      </w:tblGrid>
      <w:tr w:rsidR="00BA21C0" w:rsidRPr="009D376C" w14:paraId="7398A5C6" w14:textId="77777777" w:rsidTr="0019543A">
        <w:trPr>
          <w:trHeight w:val="237"/>
          <w:jc w:val="center"/>
        </w:trPr>
        <w:tc>
          <w:tcPr>
            <w:tcW w:w="2915" w:type="dxa"/>
            <w:vMerge w:val="restart"/>
            <w:tcBorders>
              <w:top w:val="single" w:sz="4" w:space="0" w:color="000000"/>
              <w:left w:val="nil"/>
              <w:bottom w:val="single" w:sz="4" w:space="0" w:color="000000"/>
              <w:right w:val="nil"/>
            </w:tcBorders>
            <w:shd w:val="clear" w:color="auto" w:fill="auto"/>
            <w:vAlign w:val="bottom"/>
            <w:hideMark/>
          </w:tcPr>
          <w:p w14:paraId="46E1AB0C" w14:textId="77777777" w:rsidR="00BA21C0" w:rsidRPr="009D376C" w:rsidRDefault="00BA21C0" w:rsidP="00BA21C0">
            <w:pPr>
              <w:rPr>
                <w:rFonts w:eastAsia="Times New Roman"/>
                <w:color w:val="000000"/>
                <w:lang w:val="en-US" w:eastAsia="fi-FI"/>
              </w:rPr>
            </w:pPr>
            <w:r w:rsidRPr="009D376C">
              <w:rPr>
                <w:rFonts w:eastAsia="Times New Roman"/>
                <w:color w:val="000000"/>
                <w:lang w:val="en-US" w:eastAsia="fi-FI"/>
              </w:rPr>
              <w:t> </w:t>
            </w:r>
          </w:p>
        </w:tc>
        <w:tc>
          <w:tcPr>
            <w:tcW w:w="3288" w:type="dxa"/>
            <w:gridSpan w:val="2"/>
            <w:tcBorders>
              <w:top w:val="single" w:sz="4" w:space="0" w:color="000000"/>
              <w:left w:val="nil"/>
              <w:bottom w:val="single" w:sz="4" w:space="0" w:color="000000"/>
              <w:right w:val="nil"/>
            </w:tcBorders>
            <w:shd w:val="clear" w:color="auto" w:fill="auto"/>
            <w:vAlign w:val="bottom"/>
            <w:hideMark/>
          </w:tcPr>
          <w:p w14:paraId="5A6BC605" w14:textId="77777777" w:rsidR="00BA21C0" w:rsidRPr="009D376C" w:rsidRDefault="00BA21C0" w:rsidP="00BA21C0">
            <w:pPr>
              <w:rPr>
                <w:rFonts w:eastAsia="Times New Roman"/>
                <w:b/>
                <w:bCs/>
                <w:color w:val="000000"/>
                <w:lang w:eastAsia="fi-FI"/>
              </w:rPr>
            </w:pPr>
            <w:r w:rsidRPr="009D376C">
              <w:rPr>
                <w:rFonts w:eastAsia="Times New Roman"/>
                <w:b/>
                <w:bCs/>
                <w:color w:val="000000"/>
                <w:lang w:eastAsia="fi-FI"/>
              </w:rPr>
              <w:t>Wald X²</w:t>
            </w:r>
          </w:p>
        </w:tc>
      </w:tr>
      <w:tr w:rsidR="00BA21C0" w:rsidRPr="009D376C" w14:paraId="5001D931" w14:textId="77777777" w:rsidTr="0019543A">
        <w:trPr>
          <w:trHeight w:val="250"/>
          <w:jc w:val="center"/>
        </w:trPr>
        <w:tc>
          <w:tcPr>
            <w:tcW w:w="2915" w:type="dxa"/>
            <w:vMerge/>
            <w:tcBorders>
              <w:top w:val="single" w:sz="4" w:space="0" w:color="000000"/>
              <w:left w:val="nil"/>
              <w:bottom w:val="single" w:sz="4" w:space="0" w:color="000000"/>
              <w:right w:val="nil"/>
            </w:tcBorders>
            <w:vAlign w:val="center"/>
            <w:hideMark/>
          </w:tcPr>
          <w:p w14:paraId="421C95B7" w14:textId="77777777" w:rsidR="00BA21C0" w:rsidRPr="009D376C" w:rsidRDefault="00BA21C0" w:rsidP="00BA21C0">
            <w:pPr>
              <w:rPr>
                <w:rFonts w:eastAsia="Times New Roman"/>
                <w:color w:val="000000"/>
                <w:lang w:eastAsia="fi-FI"/>
              </w:rPr>
            </w:pPr>
          </w:p>
        </w:tc>
        <w:tc>
          <w:tcPr>
            <w:tcW w:w="1738" w:type="dxa"/>
            <w:tcBorders>
              <w:top w:val="nil"/>
              <w:left w:val="nil"/>
              <w:bottom w:val="single" w:sz="4" w:space="0" w:color="000000"/>
              <w:right w:val="nil"/>
            </w:tcBorders>
            <w:shd w:val="clear" w:color="auto" w:fill="auto"/>
            <w:vAlign w:val="bottom"/>
            <w:hideMark/>
          </w:tcPr>
          <w:p w14:paraId="5DA85FD3" w14:textId="77777777" w:rsidR="00BA21C0" w:rsidRPr="009D376C" w:rsidRDefault="00BA21C0" w:rsidP="00BA21C0">
            <w:pPr>
              <w:rPr>
                <w:rFonts w:eastAsia="Times New Roman"/>
                <w:b/>
                <w:bCs/>
                <w:color w:val="000000"/>
                <w:lang w:eastAsia="fi-FI"/>
              </w:rPr>
            </w:pPr>
            <w:r w:rsidRPr="009D376C">
              <w:rPr>
                <w:rFonts w:eastAsia="Times New Roman"/>
                <w:b/>
                <w:bCs/>
                <w:color w:val="000000"/>
                <w:lang w:eastAsia="fi-FI"/>
              </w:rPr>
              <w:t>Control group</w:t>
            </w:r>
          </w:p>
        </w:tc>
        <w:tc>
          <w:tcPr>
            <w:tcW w:w="1550" w:type="dxa"/>
            <w:tcBorders>
              <w:top w:val="nil"/>
              <w:left w:val="nil"/>
              <w:bottom w:val="single" w:sz="4" w:space="0" w:color="000000"/>
              <w:right w:val="nil"/>
            </w:tcBorders>
            <w:shd w:val="clear" w:color="auto" w:fill="auto"/>
            <w:vAlign w:val="bottom"/>
            <w:hideMark/>
          </w:tcPr>
          <w:p w14:paraId="1F711365" w14:textId="77777777" w:rsidR="00BA21C0" w:rsidRPr="009D376C" w:rsidRDefault="00BA21C0" w:rsidP="00BA21C0">
            <w:pPr>
              <w:rPr>
                <w:rFonts w:eastAsia="Times New Roman"/>
                <w:b/>
                <w:bCs/>
                <w:color w:val="000000"/>
                <w:lang w:eastAsia="fi-FI"/>
              </w:rPr>
            </w:pPr>
            <w:r w:rsidRPr="009D376C">
              <w:rPr>
                <w:rFonts w:eastAsia="Times New Roman"/>
                <w:b/>
                <w:bCs/>
                <w:color w:val="000000"/>
                <w:lang w:eastAsia="fi-FI"/>
              </w:rPr>
              <w:t>Incentive group</w:t>
            </w:r>
          </w:p>
        </w:tc>
      </w:tr>
      <w:tr w:rsidR="00BA21C0" w:rsidRPr="009D376C" w14:paraId="16B98FAE" w14:textId="77777777" w:rsidTr="0019543A">
        <w:trPr>
          <w:trHeight w:val="231"/>
          <w:jc w:val="center"/>
        </w:trPr>
        <w:tc>
          <w:tcPr>
            <w:tcW w:w="2915" w:type="dxa"/>
            <w:tcBorders>
              <w:top w:val="nil"/>
              <w:left w:val="nil"/>
              <w:bottom w:val="nil"/>
              <w:right w:val="nil"/>
            </w:tcBorders>
            <w:shd w:val="clear" w:color="000000" w:fill="FFFFFF"/>
            <w:hideMark/>
          </w:tcPr>
          <w:p w14:paraId="71F5FBEC" w14:textId="77777777" w:rsidR="00BA21C0" w:rsidRPr="009D376C" w:rsidRDefault="00BA21C0" w:rsidP="00BA21C0">
            <w:pPr>
              <w:rPr>
                <w:rFonts w:eastAsia="Times New Roman"/>
                <w:color w:val="000000"/>
                <w:lang w:eastAsia="fi-FI"/>
              </w:rPr>
            </w:pPr>
            <w:r w:rsidRPr="009D376C">
              <w:rPr>
                <w:rFonts w:eastAsia="Times New Roman"/>
                <w:color w:val="000000"/>
                <w:lang w:eastAsia="fi-FI"/>
              </w:rPr>
              <w:t>Sex</w:t>
            </w:r>
          </w:p>
        </w:tc>
        <w:tc>
          <w:tcPr>
            <w:tcW w:w="1738" w:type="dxa"/>
            <w:tcBorders>
              <w:top w:val="nil"/>
              <w:left w:val="nil"/>
              <w:bottom w:val="nil"/>
              <w:right w:val="nil"/>
            </w:tcBorders>
            <w:shd w:val="clear" w:color="000000" w:fill="FFFFFF"/>
            <w:noWrap/>
            <w:hideMark/>
          </w:tcPr>
          <w:p w14:paraId="04CE85BF" w14:textId="77777777" w:rsidR="00BA21C0" w:rsidRPr="009D376C" w:rsidRDefault="00BA21C0" w:rsidP="0058233D">
            <w:pPr>
              <w:tabs>
                <w:tab w:val="left" w:pos="1160"/>
              </w:tabs>
              <w:rPr>
                <w:rFonts w:eastAsia="Times New Roman"/>
                <w:b/>
                <w:color w:val="000000"/>
                <w:lang w:eastAsia="fi-FI"/>
              </w:rPr>
            </w:pPr>
            <w:r w:rsidRPr="009D376C">
              <w:rPr>
                <w:rFonts w:eastAsia="Times New Roman"/>
                <w:b/>
                <w:color w:val="000000"/>
                <w:lang w:eastAsia="fi-FI"/>
              </w:rPr>
              <w:t>3,81</w:t>
            </w:r>
            <w:r w:rsidR="0058233D">
              <w:rPr>
                <w:rFonts w:eastAsia="Times New Roman"/>
                <w:b/>
                <w:color w:val="000000"/>
                <w:lang w:eastAsia="fi-FI"/>
              </w:rPr>
              <w:tab/>
            </w:r>
          </w:p>
        </w:tc>
        <w:tc>
          <w:tcPr>
            <w:tcW w:w="1550" w:type="dxa"/>
            <w:tcBorders>
              <w:top w:val="nil"/>
              <w:left w:val="nil"/>
              <w:bottom w:val="nil"/>
              <w:right w:val="nil"/>
            </w:tcBorders>
            <w:shd w:val="clear" w:color="000000" w:fill="FFFFFF"/>
            <w:noWrap/>
            <w:hideMark/>
          </w:tcPr>
          <w:p w14:paraId="01EDB15B" w14:textId="77777777" w:rsidR="00BA21C0" w:rsidRPr="009D376C" w:rsidRDefault="00BA21C0" w:rsidP="00BA21C0">
            <w:pPr>
              <w:rPr>
                <w:rFonts w:eastAsia="Times New Roman"/>
                <w:b/>
                <w:color w:val="000000"/>
                <w:lang w:eastAsia="fi-FI"/>
              </w:rPr>
            </w:pPr>
            <w:r w:rsidRPr="009D376C">
              <w:rPr>
                <w:rFonts w:eastAsia="Times New Roman"/>
                <w:b/>
                <w:color w:val="000000"/>
                <w:lang w:eastAsia="fi-FI"/>
              </w:rPr>
              <w:t>4,28</w:t>
            </w:r>
          </w:p>
        </w:tc>
      </w:tr>
      <w:tr w:rsidR="00BA21C0" w:rsidRPr="009D376C" w14:paraId="4E40FC32" w14:textId="77777777" w:rsidTr="0019543A">
        <w:trPr>
          <w:trHeight w:val="237"/>
          <w:jc w:val="center"/>
        </w:trPr>
        <w:tc>
          <w:tcPr>
            <w:tcW w:w="2915" w:type="dxa"/>
            <w:tcBorders>
              <w:top w:val="nil"/>
              <w:left w:val="nil"/>
              <w:bottom w:val="nil"/>
              <w:right w:val="nil"/>
            </w:tcBorders>
            <w:shd w:val="clear" w:color="000000" w:fill="FFFFFF"/>
            <w:hideMark/>
          </w:tcPr>
          <w:p w14:paraId="67C9D2B7" w14:textId="77777777" w:rsidR="00BA21C0" w:rsidRPr="009D376C" w:rsidRDefault="00BA21C0" w:rsidP="00BA21C0">
            <w:pPr>
              <w:rPr>
                <w:rFonts w:eastAsia="Times New Roman"/>
                <w:color w:val="000000"/>
                <w:lang w:eastAsia="fi-FI"/>
              </w:rPr>
            </w:pPr>
            <w:r w:rsidRPr="009D376C">
              <w:rPr>
                <w:rFonts w:eastAsia="Times New Roman"/>
                <w:color w:val="000000"/>
                <w:lang w:eastAsia="fi-FI"/>
              </w:rPr>
              <w:t>Age group</w:t>
            </w:r>
          </w:p>
        </w:tc>
        <w:tc>
          <w:tcPr>
            <w:tcW w:w="1738" w:type="dxa"/>
            <w:tcBorders>
              <w:top w:val="nil"/>
              <w:left w:val="nil"/>
              <w:bottom w:val="nil"/>
              <w:right w:val="nil"/>
            </w:tcBorders>
            <w:shd w:val="clear" w:color="000000" w:fill="FFFFFF"/>
            <w:noWrap/>
            <w:hideMark/>
          </w:tcPr>
          <w:p w14:paraId="44A5926B" w14:textId="77777777" w:rsidR="00BA21C0" w:rsidRPr="009D376C" w:rsidRDefault="00BA21C0" w:rsidP="00BA21C0">
            <w:pPr>
              <w:rPr>
                <w:rFonts w:eastAsia="Times New Roman"/>
                <w:b/>
                <w:color w:val="000000"/>
                <w:lang w:eastAsia="fi-FI"/>
              </w:rPr>
            </w:pPr>
            <w:r w:rsidRPr="009D376C">
              <w:rPr>
                <w:rFonts w:eastAsia="Times New Roman"/>
                <w:b/>
                <w:color w:val="000000"/>
                <w:lang w:eastAsia="fi-FI"/>
              </w:rPr>
              <w:t>19,03</w:t>
            </w:r>
          </w:p>
        </w:tc>
        <w:tc>
          <w:tcPr>
            <w:tcW w:w="1550" w:type="dxa"/>
            <w:tcBorders>
              <w:top w:val="nil"/>
              <w:left w:val="nil"/>
              <w:bottom w:val="nil"/>
              <w:right w:val="nil"/>
            </w:tcBorders>
            <w:shd w:val="clear" w:color="000000" w:fill="FFFFFF"/>
            <w:noWrap/>
            <w:hideMark/>
          </w:tcPr>
          <w:p w14:paraId="1EEEE7D8" w14:textId="77777777" w:rsidR="00BA21C0" w:rsidRPr="009D376C" w:rsidRDefault="00BA21C0" w:rsidP="00BA21C0">
            <w:pPr>
              <w:rPr>
                <w:rFonts w:eastAsia="Times New Roman"/>
                <w:b/>
                <w:color w:val="000000"/>
                <w:lang w:eastAsia="fi-FI"/>
              </w:rPr>
            </w:pPr>
            <w:r w:rsidRPr="009D376C">
              <w:rPr>
                <w:rFonts w:eastAsia="Times New Roman"/>
                <w:b/>
                <w:color w:val="000000"/>
                <w:lang w:eastAsia="fi-FI"/>
              </w:rPr>
              <w:t>23,32</w:t>
            </w:r>
          </w:p>
        </w:tc>
      </w:tr>
      <w:tr w:rsidR="00BA21C0" w:rsidRPr="009D376C" w14:paraId="2E1FC494" w14:textId="77777777" w:rsidTr="0019543A">
        <w:trPr>
          <w:trHeight w:val="237"/>
          <w:jc w:val="center"/>
        </w:trPr>
        <w:tc>
          <w:tcPr>
            <w:tcW w:w="2915" w:type="dxa"/>
            <w:tcBorders>
              <w:top w:val="nil"/>
              <w:left w:val="nil"/>
              <w:bottom w:val="nil"/>
              <w:right w:val="nil"/>
            </w:tcBorders>
            <w:shd w:val="clear" w:color="000000" w:fill="FFFFFF"/>
            <w:hideMark/>
          </w:tcPr>
          <w:p w14:paraId="2E17E2E1" w14:textId="77777777" w:rsidR="00BA21C0" w:rsidRPr="009D376C" w:rsidRDefault="00BA21C0" w:rsidP="00BA21C0">
            <w:pPr>
              <w:rPr>
                <w:rFonts w:eastAsia="Times New Roman"/>
                <w:color w:val="000000"/>
                <w:lang w:eastAsia="fi-FI"/>
              </w:rPr>
            </w:pPr>
            <w:r w:rsidRPr="009D376C">
              <w:rPr>
                <w:rFonts w:eastAsia="Times New Roman"/>
                <w:color w:val="000000"/>
                <w:lang w:eastAsia="fi-FI"/>
              </w:rPr>
              <w:t>Degree of urbanisation</w:t>
            </w:r>
          </w:p>
        </w:tc>
        <w:tc>
          <w:tcPr>
            <w:tcW w:w="1738" w:type="dxa"/>
            <w:tcBorders>
              <w:top w:val="nil"/>
              <w:left w:val="nil"/>
              <w:bottom w:val="nil"/>
              <w:right w:val="nil"/>
            </w:tcBorders>
            <w:shd w:val="clear" w:color="000000" w:fill="FFFFFF"/>
            <w:noWrap/>
            <w:hideMark/>
          </w:tcPr>
          <w:p w14:paraId="6567ADF9" w14:textId="77777777" w:rsidR="00BA21C0" w:rsidRPr="009D376C" w:rsidRDefault="00BA21C0" w:rsidP="00BA21C0">
            <w:pPr>
              <w:rPr>
                <w:rFonts w:eastAsia="Times New Roman"/>
                <w:color w:val="000000"/>
                <w:lang w:eastAsia="fi-FI"/>
              </w:rPr>
            </w:pPr>
            <w:r w:rsidRPr="009D376C">
              <w:rPr>
                <w:rFonts w:eastAsia="Times New Roman"/>
                <w:color w:val="000000"/>
                <w:lang w:eastAsia="fi-FI"/>
              </w:rPr>
              <w:t>1,94</w:t>
            </w:r>
          </w:p>
        </w:tc>
        <w:tc>
          <w:tcPr>
            <w:tcW w:w="1550" w:type="dxa"/>
            <w:tcBorders>
              <w:top w:val="nil"/>
              <w:left w:val="nil"/>
              <w:bottom w:val="nil"/>
              <w:right w:val="nil"/>
            </w:tcBorders>
            <w:shd w:val="clear" w:color="000000" w:fill="FFFFFF"/>
            <w:noWrap/>
            <w:hideMark/>
          </w:tcPr>
          <w:p w14:paraId="558A1A4C" w14:textId="77777777" w:rsidR="00BA21C0" w:rsidRPr="009D376C" w:rsidRDefault="00BA21C0" w:rsidP="00BA21C0">
            <w:pPr>
              <w:rPr>
                <w:rFonts w:eastAsia="Times New Roman"/>
                <w:color w:val="000000"/>
                <w:lang w:eastAsia="fi-FI"/>
              </w:rPr>
            </w:pPr>
            <w:r w:rsidRPr="009D376C">
              <w:rPr>
                <w:rFonts w:eastAsia="Times New Roman"/>
                <w:color w:val="000000"/>
                <w:lang w:eastAsia="fi-FI"/>
              </w:rPr>
              <w:t>1,80</w:t>
            </w:r>
          </w:p>
        </w:tc>
      </w:tr>
      <w:tr w:rsidR="00BA21C0" w:rsidRPr="009D376C" w14:paraId="44D70EA4" w14:textId="77777777" w:rsidTr="0019543A">
        <w:trPr>
          <w:trHeight w:val="237"/>
          <w:jc w:val="center"/>
        </w:trPr>
        <w:tc>
          <w:tcPr>
            <w:tcW w:w="2915" w:type="dxa"/>
            <w:tcBorders>
              <w:top w:val="nil"/>
              <w:left w:val="nil"/>
              <w:bottom w:val="nil"/>
              <w:right w:val="nil"/>
            </w:tcBorders>
            <w:shd w:val="clear" w:color="000000" w:fill="FFFFFF"/>
            <w:hideMark/>
          </w:tcPr>
          <w:p w14:paraId="13C53BFB" w14:textId="77777777" w:rsidR="00BA21C0" w:rsidRPr="009D376C" w:rsidRDefault="00BA21C0" w:rsidP="00BA21C0">
            <w:pPr>
              <w:rPr>
                <w:rFonts w:eastAsia="Times New Roman"/>
                <w:color w:val="000000"/>
                <w:lang w:eastAsia="fi-FI"/>
              </w:rPr>
            </w:pPr>
            <w:r w:rsidRPr="009D376C">
              <w:rPr>
                <w:rFonts w:eastAsia="Times New Roman"/>
                <w:color w:val="000000"/>
                <w:lang w:eastAsia="fi-FI"/>
              </w:rPr>
              <w:t>Language: Other</w:t>
            </w:r>
          </w:p>
        </w:tc>
        <w:tc>
          <w:tcPr>
            <w:tcW w:w="1738" w:type="dxa"/>
            <w:tcBorders>
              <w:top w:val="nil"/>
              <w:left w:val="nil"/>
              <w:bottom w:val="nil"/>
              <w:right w:val="nil"/>
            </w:tcBorders>
            <w:shd w:val="clear" w:color="000000" w:fill="FFFFFF"/>
            <w:noWrap/>
            <w:hideMark/>
          </w:tcPr>
          <w:p w14:paraId="109ADA56" w14:textId="77777777" w:rsidR="00BA21C0" w:rsidRPr="009D376C" w:rsidRDefault="00BA21C0" w:rsidP="00BA21C0">
            <w:pPr>
              <w:rPr>
                <w:rFonts w:eastAsia="Times New Roman"/>
                <w:b/>
                <w:color w:val="000000"/>
                <w:lang w:eastAsia="fi-FI"/>
              </w:rPr>
            </w:pPr>
            <w:r w:rsidRPr="009D376C">
              <w:rPr>
                <w:rFonts w:eastAsia="Times New Roman"/>
                <w:b/>
                <w:color w:val="000000"/>
                <w:lang w:eastAsia="fi-FI"/>
              </w:rPr>
              <w:t>7,86</w:t>
            </w:r>
          </w:p>
        </w:tc>
        <w:tc>
          <w:tcPr>
            <w:tcW w:w="1550" w:type="dxa"/>
            <w:tcBorders>
              <w:top w:val="nil"/>
              <w:left w:val="nil"/>
              <w:bottom w:val="nil"/>
              <w:right w:val="nil"/>
            </w:tcBorders>
            <w:shd w:val="clear" w:color="000000" w:fill="FFFFFF"/>
            <w:noWrap/>
            <w:hideMark/>
          </w:tcPr>
          <w:p w14:paraId="1FB6DA07" w14:textId="77777777" w:rsidR="00BA21C0" w:rsidRPr="009D376C" w:rsidRDefault="00BA21C0" w:rsidP="00BA21C0">
            <w:pPr>
              <w:rPr>
                <w:rFonts w:eastAsia="Times New Roman"/>
                <w:b/>
                <w:color w:val="000000"/>
                <w:lang w:eastAsia="fi-FI"/>
              </w:rPr>
            </w:pPr>
            <w:r w:rsidRPr="009D376C">
              <w:rPr>
                <w:rFonts w:eastAsia="Times New Roman"/>
                <w:b/>
                <w:color w:val="000000"/>
                <w:lang w:eastAsia="fi-FI"/>
              </w:rPr>
              <w:t>10,47</w:t>
            </w:r>
          </w:p>
        </w:tc>
      </w:tr>
      <w:tr w:rsidR="00BA21C0" w:rsidRPr="009D376C" w14:paraId="6E5146BC" w14:textId="77777777" w:rsidTr="0019543A">
        <w:trPr>
          <w:trHeight w:val="237"/>
          <w:jc w:val="center"/>
        </w:trPr>
        <w:tc>
          <w:tcPr>
            <w:tcW w:w="2915" w:type="dxa"/>
            <w:tcBorders>
              <w:top w:val="nil"/>
              <w:left w:val="nil"/>
              <w:bottom w:val="nil"/>
              <w:right w:val="nil"/>
            </w:tcBorders>
            <w:shd w:val="clear" w:color="000000" w:fill="FFFFFF"/>
            <w:hideMark/>
          </w:tcPr>
          <w:p w14:paraId="09598A17" w14:textId="77777777" w:rsidR="00BA21C0" w:rsidRPr="009D376C" w:rsidRDefault="00BA21C0" w:rsidP="00BA21C0">
            <w:pPr>
              <w:rPr>
                <w:rFonts w:eastAsia="Times New Roman"/>
                <w:color w:val="000000"/>
                <w:lang w:eastAsia="fi-FI"/>
              </w:rPr>
            </w:pPr>
            <w:r w:rsidRPr="009D376C">
              <w:rPr>
                <w:rFonts w:eastAsia="Times New Roman"/>
                <w:color w:val="000000"/>
                <w:lang w:eastAsia="fi-FI"/>
              </w:rPr>
              <w:t>ISCED 2011</w:t>
            </w:r>
          </w:p>
        </w:tc>
        <w:tc>
          <w:tcPr>
            <w:tcW w:w="1738" w:type="dxa"/>
            <w:tcBorders>
              <w:top w:val="nil"/>
              <w:left w:val="nil"/>
              <w:bottom w:val="nil"/>
              <w:right w:val="nil"/>
            </w:tcBorders>
            <w:shd w:val="clear" w:color="000000" w:fill="FFFFFF"/>
            <w:noWrap/>
            <w:hideMark/>
          </w:tcPr>
          <w:p w14:paraId="4B134608" w14:textId="77777777" w:rsidR="00BA21C0" w:rsidRPr="009D376C" w:rsidRDefault="00BA21C0" w:rsidP="00BA21C0">
            <w:pPr>
              <w:rPr>
                <w:rFonts w:eastAsia="Times New Roman"/>
                <w:b/>
                <w:color w:val="000000"/>
                <w:lang w:eastAsia="fi-FI"/>
              </w:rPr>
            </w:pPr>
            <w:r w:rsidRPr="009D376C">
              <w:rPr>
                <w:rFonts w:eastAsia="Times New Roman"/>
                <w:b/>
                <w:color w:val="000000"/>
                <w:lang w:eastAsia="fi-FI"/>
              </w:rPr>
              <w:t>29,19</w:t>
            </w:r>
          </w:p>
        </w:tc>
        <w:tc>
          <w:tcPr>
            <w:tcW w:w="1550" w:type="dxa"/>
            <w:tcBorders>
              <w:top w:val="nil"/>
              <w:left w:val="nil"/>
              <w:bottom w:val="nil"/>
              <w:right w:val="nil"/>
            </w:tcBorders>
            <w:shd w:val="clear" w:color="000000" w:fill="FFFFFF"/>
            <w:noWrap/>
            <w:hideMark/>
          </w:tcPr>
          <w:p w14:paraId="3D728B28" w14:textId="77777777" w:rsidR="00BA21C0" w:rsidRPr="009D376C" w:rsidRDefault="00BA21C0" w:rsidP="00BA21C0">
            <w:pPr>
              <w:rPr>
                <w:rFonts w:eastAsia="Times New Roman"/>
                <w:b/>
                <w:color w:val="000000"/>
                <w:lang w:eastAsia="fi-FI"/>
              </w:rPr>
            </w:pPr>
            <w:r w:rsidRPr="009D376C">
              <w:rPr>
                <w:rFonts w:eastAsia="Times New Roman"/>
                <w:b/>
                <w:color w:val="000000"/>
                <w:lang w:eastAsia="fi-FI"/>
              </w:rPr>
              <w:t>19,08</w:t>
            </w:r>
          </w:p>
        </w:tc>
      </w:tr>
      <w:tr w:rsidR="00BA21C0" w:rsidRPr="009D376C" w14:paraId="2EC9187E" w14:textId="77777777" w:rsidTr="0019543A">
        <w:trPr>
          <w:trHeight w:val="237"/>
          <w:jc w:val="center"/>
        </w:trPr>
        <w:tc>
          <w:tcPr>
            <w:tcW w:w="2915" w:type="dxa"/>
            <w:tcBorders>
              <w:top w:val="nil"/>
              <w:left w:val="nil"/>
              <w:bottom w:val="nil"/>
              <w:right w:val="nil"/>
            </w:tcBorders>
            <w:shd w:val="clear" w:color="000000" w:fill="FFFFFF"/>
            <w:hideMark/>
          </w:tcPr>
          <w:p w14:paraId="3F1385E5" w14:textId="77777777" w:rsidR="00BA21C0" w:rsidRPr="009D376C" w:rsidRDefault="00BA21C0" w:rsidP="00BA21C0">
            <w:pPr>
              <w:rPr>
                <w:rFonts w:eastAsia="Times New Roman"/>
                <w:color w:val="000000"/>
                <w:lang w:eastAsia="fi-FI"/>
              </w:rPr>
            </w:pPr>
            <w:r w:rsidRPr="009D376C">
              <w:rPr>
                <w:rFonts w:eastAsia="Times New Roman"/>
                <w:color w:val="000000"/>
                <w:lang w:eastAsia="fi-FI"/>
              </w:rPr>
              <w:t>ISCED Field 2013</w:t>
            </w:r>
          </w:p>
        </w:tc>
        <w:tc>
          <w:tcPr>
            <w:tcW w:w="1738" w:type="dxa"/>
            <w:tcBorders>
              <w:top w:val="nil"/>
              <w:left w:val="nil"/>
              <w:bottom w:val="nil"/>
              <w:right w:val="nil"/>
            </w:tcBorders>
            <w:shd w:val="clear" w:color="000000" w:fill="FFFFFF"/>
            <w:noWrap/>
            <w:hideMark/>
          </w:tcPr>
          <w:p w14:paraId="6B0475BC" w14:textId="77777777" w:rsidR="00BA21C0" w:rsidRPr="009D376C" w:rsidRDefault="00BA21C0" w:rsidP="00BA21C0">
            <w:pPr>
              <w:rPr>
                <w:rFonts w:eastAsia="Times New Roman"/>
                <w:b/>
                <w:color w:val="000000"/>
                <w:lang w:eastAsia="fi-FI"/>
              </w:rPr>
            </w:pPr>
            <w:r w:rsidRPr="009D376C">
              <w:rPr>
                <w:rFonts w:eastAsia="Times New Roman"/>
                <w:b/>
                <w:color w:val="000000"/>
                <w:lang w:eastAsia="fi-FI"/>
              </w:rPr>
              <w:t>16,70</w:t>
            </w:r>
          </w:p>
        </w:tc>
        <w:tc>
          <w:tcPr>
            <w:tcW w:w="1550" w:type="dxa"/>
            <w:tcBorders>
              <w:top w:val="nil"/>
              <w:left w:val="nil"/>
              <w:bottom w:val="nil"/>
              <w:right w:val="nil"/>
            </w:tcBorders>
            <w:shd w:val="clear" w:color="000000" w:fill="FFFFFF"/>
            <w:noWrap/>
            <w:hideMark/>
          </w:tcPr>
          <w:p w14:paraId="25259B72" w14:textId="77777777" w:rsidR="00BA21C0" w:rsidRPr="009D376C" w:rsidRDefault="00BA21C0" w:rsidP="00BA21C0">
            <w:pPr>
              <w:rPr>
                <w:rFonts w:eastAsia="Times New Roman"/>
                <w:b/>
                <w:color w:val="000000"/>
                <w:lang w:eastAsia="fi-FI"/>
              </w:rPr>
            </w:pPr>
            <w:r w:rsidRPr="009D376C">
              <w:rPr>
                <w:rFonts w:eastAsia="Times New Roman"/>
                <w:b/>
                <w:color w:val="000000"/>
                <w:lang w:eastAsia="fi-FI"/>
              </w:rPr>
              <w:t>14,38</w:t>
            </w:r>
          </w:p>
        </w:tc>
      </w:tr>
      <w:tr w:rsidR="00BA21C0" w:rsidRPr="009D376C" w14:paraId="3EA726A9" w14:textId="77777777" w:rsidTr="0019543A">
        <w:trPr>
          <w:trHeight w:val="237"/>
          <w:jc w:val="center"/>
        </w:trPr>
        <w:tc>
          <w:tcPr>
            <w:tcW w:w="2915" w:type="dxa"/>
            <w:tcBorders>
              <w:top w:val="nil"/>
              <w:left w:val="nil"/>
              <w:bottom w:val="nil"/>
              <w:right w:val="nil"/>
            </w:tcBorders>
            <w:shd w:val="clear" w:color="000000" w:fill="FFFFFF"/>
            <w:hideMark/>
          </w:tcPr>
          <w:p w14:paraId="73BD5676" w14:textId="77777777" w:rsidR="00BA21C0" w:rsidRPr="009D376C" w:rsidRDefault="00BA21C0" w:rsidP="00BA21C0">
            <w:pPr>
              <w:rPr>
                <w:rFonts w:eastAsia="Times New Roman"/>
                <w:color w:val="000000"/>
                <w:lang w:eastAsia="fi-FI"/>
              </w:rPr>
            </w:pPr>
            <w:r w:rsidRPr="009D376C">
              <w:rPr>
                <w:rFonts w:eastAsia="Times New Roman"/>
                <w:color w:val="000000"/>
                <w:lang w:eastAsia="fi-FI"/>
              </w:rPr>
              <w:t>Availability of E-mail</w:t>
            </w:r>
          </w:p>
        </w:tc>
        <w:tc>
          <w:tcPr>
            <w:tcW w:w="1738" w:type="dxa"/>
            <w:tcBorders>
              <w:top w:val="nil"/>
              <w:left w:val="nil"/>
              <w:bottom w:val="nil"/>
              <w:right w:val="nil"/>
            </w:tcBorders>
            <w:shd w:val="clear" w:color="000000" w:fill="FFFFFF"/>
            <w:noWrap/>
            <w:hideMark/>
          </w:tcPr>
          <w:p w14:paraId="41AAF204" w14:textId="77777777" w:rsidR="00BA21C0" w:rsidRPr="009D376C" w:rsidRDefault="00BA21C0" w:rsidP="00BA21C0">
            <w:pPr>
              <w:rPr>
                <w:rFonts w:eastAsia="Times New Roman"/>
                <w:b/>
                <w:color w:val="000000"/>
                <w:lang w:eastAsia="fi-FI"/>
              </w:rPr>
            </w:pPr>
            <w:r w:rsidRPr="009D376C">
              <w:rPr>
                <w:rFonts w:eastAsia="Times New Roman"/>
                <w:b/>
                <w:color w:val="000000"/>
                <w:lang w:eastAsia="fi-FI"/>
              </w:rPr>
              <w:t>3,27</w:t>
            </w:r>
          </w:p>
        </w:tc>
        <w:tc>
          <w:tcPr>
            <w:tcW w:w="1550" w:type="dxa"/>
            <w:tcBorders>
              <w:top w:val="nil"/>
              <w:left w:val="nil"/>
              <w:bottom w:val="nil"/>
              <w:right w:val="nil"/>
            </w:tcBorders>
            <w:shd w:val="clear" w:color="000000" w:fill="FFFFFF"/>
            <w:noWrap/>
            <w:hideMark/>
          </w:tcPr>
          <w:p w14:paraId="561354C0" w14:textId="77777777" w:rsidR="00BA21C0" w:rsidRPr="009D376C" w:rsidRDefault="00BA21C0" w:rsidP="00BA21C0">
            <w:pPr>
              <w:rPr>
                <w:rFonts w:eastAsia="Times New Roman"/>
                <w:b/>
                <w:color w:val="000000"/>
                <w:lang w:eastAsia="fi-FI"/>
              </w:rPr>
            </w:pPr>
            <w:r w:rsidRPr="009D376C">
              <w:rPr>
                <w:rFonts w:eastAsia="Times New Roman"/>
                <w:b/>
                <w:color w:val="000000"/>
                <w:lang w:eastAsia="fi-FI"/>
              </w:rPr>
              <w:t>9,88</w:t>
            </w:r>
          </w:p>
        </w:tc>
      </w:tr>
      <w:tr w:rsidR="00BA21C0" w:rsidRPr="009D376C" w14:paraId="1645EEF4" w14:textId="77777777" w:rsidTr="0019543A">
        <w:trPr>
          <w:trHeight w:val="237"/>
          <w:jc w:val="center"/>
        </w:trPr>
        <w:tc>
          <w:tcPr>
            <w:tcW w:w="6204" w:type="dxa"/>
            <w:gridSpan w:val="3"/>
            <w:tcBorders>
              <w:top w:val="nil"/>
              <w:left w:val="nil"/>
              <w:bottom w:val="nil"/>
              <w:right w:val="nil"/>
            </w:tcBorders>
            <w:shd w:val="clear" w:color="000000" w:fill="FFFFFF"/>
            <w:hideMark/>
          </w:tcPr>
          <w:p w14:paraId="2D83043A" w14:textId="77777777" w:rsidR="00BA21C0" w:rsidRPr="009D376C" w:rsidRDefault="00BA21C0" w:rsidP="00BA21C0">
            <w:pPr>
              <w:rPr>
                <w:rFonts w:eastAsia="Times New Roman"/>
                <w:color w:val="000000"/>
                <w:lang w:eastAsia="fi-FI"/>
              </w:rPr>
            </w:pPr>
            <w:r w:rsidRPr="009D376C">
              <w:rPr>
                <w:rFonts w:eastAsia="Times New Roman"/>
                <w:color w:val="000000"/>
                <w:lang w:eastAsia="fi-FI"/>
              </w:rPr>
              <w:t> </w:t>
            </w:r>
          </w:p>
        </w:tc>
      </w:tr>
      <w:tr w:rsidR="00BA21C0" w:rsidRPr="009D376C" w14:paraId="1ED5F867" w14:textId="77777777" w:rsidTr="0019543A">
        <w:trPr>
          <w:trHeight w:val="237"/>
          <w:jc w:val="center"/>
        </w:trPr>
        <w:tc>
          <w:tcPr>
            <w:tcW w:w="2915" w:type="dxa"/>
            <w:tcBorders>
              <w:top w:val="single" w:sz="4" w:space="0" w:color="auto"/>
              <w:left w:val="nil"/>
              <w:bottom w:val="nil"/>
              <w:right w:val="nil"/>
            </w:tcBorders>
            <w:shd w:val="clear" w:color="000000" w:fill="FFFFFF"/>
            <w:hideMark/>
          </w:tcPr>
          <w:p w14:paraId="13ECBDDE" w14:textId="77777777" w:rsidR="00BA21C0" w:rsidRPr="009D376C" w:rsidRDefault="00BA21C0" w:rsidP="00BA21C0">
            <w:pPr>
              <w:rPr>
                <w:rFonts w:eastAsia="Times New Roman"/>
                <w:color w:val="000000"/>
                <w:lang w:eastAsia="fi-FI"/>
              </w:rPr>
            </w:pPr>
            <w:r w:rsidRPr="009D376C">
              <w:rPr>
                <w:rFonts w:eastAsia="Times New Roman"/>
                <w:color w:val="000000"/>
                <w:lang w:eastAsia="fi-FI"/>
              </w:rPr>
              <w:t>Valid N</w:t>
            </w:r>
          </w:p>
        </w:tc>
        <w:tc>
          <w:tcPr>
            <w:tcW w:w="1738" w:type="dxa"/>
            <w:tcBorders>
              <w:top w:val="single" w:sz="4" w:space="0" w:color="auto"/>
              <w:left w:val="nil"/>
              <w:bottom w:val="nil"/>
              <w:right w:val="nil"/>
            </w:tcBorders>
            <w:shd w:val="clear" w:color="000000" w:fill="FFFFFF"/>
            <w:hideMark/>
          </w:tcPr>
          <w:p w14:paraId="7C3C9C1A" w14:textId="77777777" w:rsidR="00BA21C0" w:rsidRPr="009D376C" w:rsidRDefault="00BA21C0" w:rsidP="00BA21C0">
            <w:pPr>
              <w:rPr>
                <w:rFonts w:eastAsia="Times New Roman"/>
                <w:color w:val="000000"/>
                <w:lang w:eastAsia="fi-FI"/>
              </w:rPr>
            </w:pPr>
            <w:r w:rsidRPr="009D376C">
              <w:rPr>
                <w:rFonts w:eastAsia="Times New Roman"/>
                <w:color w:val="000000"/>
                <w:lang w:eastAsia="fi-FI"/>
              </w:rPr>
              <w:t>1500</w:t>
            </w:r>
          </w:p>
        </w:tc>
        <w:tc>
          <w:tcPr>
            <w:tcW w:w="1550" w:type="dxa"/>
            <w:tcBorders>
              <w:top w:val="single" w:sz="4" w:space="0" w:color="auto"/>
              <w:left w:val="nil"/>
              <w:bottom w:val="nil"/>
              <w:right w:val="nil"/>
            </w:tcBorders>
            <w:shd w:val="clear" w:color="000000" w:fill="FFFFFF"/>
            <w:hideMark/>
          </w:tcPr>
          <w:p w14:paraId="3C3D82F6" w14:textId="77777777" w:rsidR="00BA21C0" w:rsidRPr="009D376C" w:rsidRDefault="00BA21C0" w:rsidP="00BA21C0">
            <w:pPr>
              <w:rPr>
                <w:rFonts w:eastAsia="Times New Roman"/>
                <w:color w:val="000000"/>
                <w:lang w:eastAsia="fi-FI"/>
              </w:rPr>
            </w:pPr>
            <w:r w:rsidRPr="009D376C">
              <w:rPr>
                <w:rFonts w:eastAsia="Times New Roman"/>
                <w:color w:val="000000"/>
                <w:lang w:eastAsia="fi-FI"/>
              </w:rPr>
              <w:t>1700</w:t>
            </w:r>
          </w:p>
        </w:tc>
      </w:tr>
      <w:tr w:rsidR="00BA21C0" w:rsidRPr="009D376C" w14:paraId="167B5165" w14:textId="77777777" w:rsidTr="0019543A">
        <w:trPr>
          <w:trHeight w:val="237"/>
          <w:jc w:val="center"/>
        </w:trPr>
        <w:tc>
          <w:tcPr>
            <w:tcW w:w="2915" w:type="dxa"/>
            <w:tcBorders>
              <w:top w:val="nil"/>
              <w:left w:val="nil"/>
              <w:bottom w:val="single" w:sz="4" w:space="0" w:color="auto"/>
              <w:right w:val="nil"/>
            </w:tcBorders>
            <w:shd w:val="clear" w:color="000000" w:fill="FFFFFF"/>
            <w:hideMark/>
          </w:tcPr>
          <w:p w14:paraId="11A74383" w14:textId="77777777" w:rsidR="00BA21C0" w:rsidRPr="009D376C" w:rsidRDefault="00BA21C0" w:rsidP="00BA21C0">
            <w:pPr>
              <w:rPr>
                <w:rFonts w:eastAsia="Times New Roman"/>
                <w:color w:val="000000"/>
                <w:lang w:eastAsia="fi-FI"/>
              </w:rPr>
            </w:pPr>
            <w:proofErr w:type="spellStart"/>
            <w:r w:rsidRPr="009D376C">
              <w:rPr>
                <w:rFonts w:eastAsia="Times New Roman"/>
                <w:color w:val="000000"/>
                <w:lang w:eastAsia="fi-FI"/>
              </w:rPr>
              <w:t>Nagelkerke</w:t>
            </w:r>
            <w:proofErr w:type="spellEnd"/>
            <w:r w:rsidRPr="009D376C">
              <w:rPr>
                <w:rFonts w:eastAsia="Times New Roman"/>
                <w:color w:val="000000"/>
                <w:lang w:eastAsia="fi-FI"/>
              </w:rPr>
              <w:t xml:space="preserve"> R²</w:t>
            </w:r>
          </w:p>
        </w:tc>
        <w:tc>
          <w:tcPr>
            <w:tcW w:w="1738" w:type="dxa"/>
            <w:tcBorders>
              <w:top w:val="nil"/>
              <w:left w:val="nil"/>
              <w:bottom w:val="single" w:sz="4" w:space="0" w:color="auto"/>
              <w:right w:val="nil"/>
            </w:tcBorders>
            <w:shd w:val="clear" w:color="000000" w:fill="FFFFFF"/>
            <w:noWrap/>
            <w:hideMark/>
          </w:tcPr>
          <w:p w14:paraId="58D5C5FD" w14:textId="77777777" w:rsidR="00BA21C0" w:rsidRPr="009D376C" w:rsidRDefault="00BA21C0" w:rsidP="00BA21C0">
            <w:pPr>
              <w:rPr>
                <w:rFonts w:eastAsia="Times New Roman"/>
                <w:color w:val="000000"/>
                <w:lang w:eastAsia="fi-FI"/>
              </w:rPr>
            </w:pPr>
            <w:r w:rsidRPr="009D376C">
              <w:rPr>
                <w:rFonts w:eastAsia="Times New Roman"/>
                <w:color w:val="000000"/>
                <w:lang w:eastAsia="fi-FI"/>
              </w:rPr>
              <w:t>0,082</w:t>
            </w:r>
          </w:p>
        </w:tc>
        <w:tc>
          <w:tcPr>
            <w:tcW w:w="1550" w:type="dxa"/>
            <w:tcBorders>
              <w:top w:val="nil"/>
              <w:left w:val="nil"/>
              <w:bottom w:val="single" w:sz="4" w:space="0" w:color="auto"/>
              <w:right w:val="nil"/>
            </w:tcBorders>
            <w:shd w:val="clear" w:color="000000" w:fill="FFFFFF"/>
            <w:noWrap/>
            <w:hideMark/>
          </w:tcPr>
          <w:p w14:paraId="1C196D1A" w14:textId="77777777" w:rsidR="00BA21C0" w:rsidRPr="009D376C" w:rsidRDefault="00BA21C0" w:rsidP="00BA21C0">
            <w:pPr>
              <w:rPr>
                <w:rFonts w:eastAsia="Times New Roman"/>
                <w:color w:val="000000"/>
                <w:lang w:eastAsia="fi-FI"/>
              </w:rPr>
            </w:pPr>
            <w:r w:rsidRPr="009D376C">
              <w:rPr>
                <w:rFonts w:eastAsia="Times New Roman"/>
                <w:color w:val="000000"/>
                <w:lang w:eastAsia="fi-FI"/>
              </w:rPr>
              <w:t>0,087</w:t>
            </w:r>
          </w:p>
        </w:tc>
      </w:tr>
    </w:tbl>
    <w:p w14:paraId="13EE4618" w14:textId="77777777" w:rsidR="00BA21C0" w:rsidRPr="0058233D" w:rsidRDefault="0058233D" w:rsidP="0058233D">
      <w:pPr>
        <w:rPr>
          <w:b/>
          <w:lang w:val="en-US"/>
        </w:rPr>
      </w:pPr>
      <w:r w:rsidRPr="0058233D">
        <w:rPr>
          <w:b/>
          <w:lang w:val="en-US"/>
        </w:rPr>
        <w:t>*</w:t>
      </w:r>
      <w:r>
        <w:rPr>
          <w:b/>
          <w:lang w:val="en-US"/>
        </w:rPr>
        <w:t xml:space="preserve"> Bolded Wald test values indicated significance at 0.05-level</w:t>
      </w:r>
    </w:p>
    <w:p w14:paraId="3703B540" w14:textId="77777777" w:rsidR="00BA21C0" w:rsidRPr="009D376C" w:rsidRDefault="00BA21C0" w:rsidP="00B33D62">
      <w:pPr>
        <w:pStyle w:val="Otsikko3"/>
        <w:rPr>
          <w:lang w:val="en-US"/>
        </w:rPr>
      </w:pPr>
      <w:r w:rsidRPr="009D376C">
        <w:rPr>
          <w:lang w:val="en-US"/>
        </w:rPr>
        <w:t>Data quality using external criteria</w:t>
      </w:r>
    </w:p>
    <w:p w14:paraId="244D2A60" w14:textId="77777777" w:rsidR="00BA21C0" w:rsidRPr="009D376C" w:rsidRDefault="00BA21C0" w:rsidP="00BA21C0">
      <w:pPr>
        <w:rPr>
          <w:lang w:val="en-US"/>
        </w:rPr>
      </w:pPr>
      <w:r w:rsidRPr="009D376C">
        <w:rPr>
          <w:lang w:val="en-US"/>
        </w:rPr>
        <w:t xml:space="preserve">Our research interest concerning the comparison of estimates of voter turnout to register based turnout rate is twofold: First we seek to test the hypothesis that the incentive was able to attract people who are less by comparing the estimates of self-reported voting in the last parliamentary election of 2015 to actual turnout. Second, comparing this estimate to serves the purpose of external validation or an indicator of data quality. The less biased the estimate, the better is the quality of our data. Since overreporting of turnout is a commonly identified inconsistency in found in most election surveys (Belli, Traugott &amp; Beckmann 2001), we are not surprised to see the overall estimate to be above the official turnout of 70,1 percent. </w:t>
      </w:r>
    </w:p>
    <w:p w14:paraId="3F5F5B59" w14:textId="77777777" w:rsidR="00BA21C0" w:rsidRPr="009D376C" w:rsidRDefault="00BA21C0" w:rsidP="00BA21C0">
      <w:pPr>
        <w:rPr>
          <w:lang w:val="en-US"/>
        </w:rPr>
      </w:pPr>
      <w:r w:rsidRPr="009D376C">
        <w:rPr>
          <w:lang w:val="en-US"/>
        </w:rPr>
        <w:lastRenderedPageBreak/>
        <w:t>Respondents in the incentive subsample reported a turnout rate of 83,4 percent whereas the control stratum estimate was somewhat higher (86,9 percent) both of which clearly indicate the overall survey to be overrepresent voters. Though this difference is so small that it remains outside conventional levels of significance (Chi²~2.65; df=1; p~0.1), we conclude this as tentative evidence that the incentive was likely able to contribute data quality by convincing people less active in societal matters to participate.</w:t>
      </w:r>
    </w:p>
    <w:p w14:paraId="48404132" w14:textId="77777777" w:rsidR="00BA21C0" w:rsidRPr="009D376C" w:rsidRDefault="00BA21C0" w:rsidP="00B33D62">
      <w:pPr>
        <w:pStyle w:val="Otsikko3"/>
        <w:rPr>
          <w:lang w:val="en-US"/>
        </w:rPr>
      </w:pPr>
      <w:r w:rsidRPr="009D376C">
        <w:rPr>
          <w:lang w:val="en-US"/>
        </w:rPr>
        <w:t>Topic interest</w:t>
      </w:r>
    </w:p>
    <w:p w14:paraId="6411E92A" w14:textId="77777777" w:rsidR="00BA21C0" w:rsidRPr="009D376C" w:rsidRDefault="00BA21C0" w:rsidP="00BA21C0">
      <w:pPr>
        <w:rPr>
          <w:lang w:val="en-US"/>
        </w:rPr>
      </w:pPr>
      <w:r w:rsidRPr="009D376C">
        <w:rPr>
          <w:lang w:val="en-US"/>
        </w:rPr>
        <w:t xml:space="preserve">According to the leverage-salience theory of survey participation, interest in religion (whether as an </w:t>
      </w:r>
      <w:proofErr w:type="spellStart"/>
      <w:r w:rsidRPr="009D376C">
        <w:rPr>
          <w:lang w:val="en-US"/>
        </w:rPr>
        <w:t>extention</w:t>
      </w:r>
      <w:proofErr w:type="spellEnd"/>
      <w:r w:rsidRPr="009D376C">
        <w:rPr>
          <w:lang w:val="en-US"/>
        </w:rPr>
        <w:t xml:space="preserve"> of their faith or secularism) may be associated with willingness to respond to a survey request with a religious topic. </w:t>
      </w:r>
      <w:proofErr w:type="gramStart"/>
      <w:r w:rsidRPr="009D376C">
        <w:rPr>
          <w:lang w:val="en-US"/>
        </w:rPr>
        <w:t>Accordingly</w:t>
      </w:r>
      <w:proofErr w:type="gramEnd"/>
      <w:r w:rsidRPr="009D376C">
        <w:rPr>
          <w:lang w:val="en-US"/>
        </w:rPr>
        <w:t xml:space="preserve"> the reputation of the survey organization may be significant for others whereas some people may only be responsive to direct rewards awarded to respondents (Groves et al. 2004). Therefor we hypothesize that an increase in the reward of participation should adjust the distribution of those survey variables which are most strongly associated with topic interest. This is because there is reason to believe that with minor rewards, the non-response bias in terms of topic interest will be greater.</w:t>
      </w:r>
    </w:p>
    <w:p w14:paraId="1E2ACD79" w14:textId="77777777" w:rsidR="00BA21C0" w:rsidRPr="009D376C" w:rsidRDefault="00BA21C0" w:rsidP="00BA21C0">
      <w:pPr>
        <w:rPr>
          <w:lang w:val="en-US"/>
        </w:rPr>
      </w:pPr>
      <w:proofErr w:type="gramStart"/>
      <w:r w:rsidRPr="009D376C">
        <w:rPr>
          <w:lang w:val="en-US"/>
        </w:rPr>
        <w:t>Thus</w:t>
      </w:r>
      <w:proofErr w:type="gramEnd"/>
      <w:r w:rsidRPr="009D376C">
        <w:rPr>
          <w:lang w:val="en-US"/>
        </w:rPr>
        <w:t xml:space="preserve"> we expect that the increase in response which can be accounted to the chocolate incentive should have attracted people with less emphasis on religious topics. This was examined by comparing the distribution of a key survey item measuring overall religiousness between the experiment and control samples. The survey item measuring overall religiousness “Would you describe yourself as--- 1 Extremely religious – 7 Extremely non-religious” which was recoded into three categories: Strongly non-religious (1-2), indifferent (3-5) and strongly religious respondents (6-7). Consistent with our expectations we found the experimental group reported somewhat less often extreme values on both ends of the scale, though the difference observed lacked statistical significance. Though the number of religiously indifferent respondents was found higher in the incentive group</w:t>
      </w:r>
    </w:p>
    <w:p w14:paraId="6B194CEF" w14:textId="77777777" w:rsidR="00B33D62" w:rsidRDefault="00B33D62">
      <w:pPr>
        <w:spacing w:before="0" w:after="160" w:line="259" w:lineRule="auto"/>
        <w:jc w:val="left"/>
        <w:rPr>
          <w:lang w:val="en-US"/>
        </w:rPr>
      </w:pPr>
      <w:r>
        <w:rPr>
          <w:lang w:val="en-US"/>
        </w:rPr>
        <w:br w:type="page"/>
      </w:r>
    </w:p>
    <w:p w14:paraId="44A94C95" w14:textId="77777777" w:rsidR="00BA21C0" w:rsidRPr="009D376C" w:rsidRDefault="00BA21C0" w:rsidP="00BA21C0">
      <w:pPr>
        <w:rPr>
          <w:lang w:val="en-US"/>
        </w:rPr>
      </w:pPr>
      <w:r w:rsidRPr="009D376C">
        <w:rPr>
          <w:lang w:val="en-US"/>
        </w:rPr>
        <w:lastRenderedPageBreak/>
        <w:t>Table 4. Self-reported religiousness in the incentive vs. control group sub-samples</w:t>
      </w:r>
    </w:p>
    <w:tbl>
      <w:tblPr>
        <w:tblW w:w="7317" w:type="dxa"/>
        <w:jc w:val="center"/>
        <w:tblCellMar>
          <w:left w:w="70" w:type="dxa"/>
          <w:right w:w="70" w:type="dxa"/>
        </w:tblCellMar>
        <w:tblLook w:val="04A0" w:firstRow="1" w:lastRow="0" w:firstColumn="1" w:lastColumn="0" w:noHBand="0" w:noVBand="1"/>
      </w:tblPr>
      <w:tblGrid>
        <w:gridCol w:w="2658"/>
        <w:gridCol w:w="3013"/>
        <w:gridCol w:w="1646"/>
      </w:tblGrid>
      <w:tr w:rsidR="00BA21C0" w:rsidRPr="009D376C" w14:paraId="03E800B9" w14:textId="77777777" w:rsidTr="0019543A">
        <w:trPr>
          <w:trHeight w:val="257"/>
          <w:jc w:val="center"/>
        </w:trPr>
        <w:tc>
          <w:tcPr>
            <w:tcW w:w="2658" w:type="dxa"/>
            <w:vMerge w:val="restart"/>
            <w:tcBorders>
              <w:top w:val="single" w:sz="4" w:space="0" w:color="000000"/>
              <w:left w:val="nil"/>
              <w:bottom w:val="single" w:sz="4" w:space="0" w:color="000000"/>
              <w:right w:val="nil"/>
            </w:tcBorders>
            <w:shd w:val="clear" w:color="auto" w:fill="auto"/>
            <w:vAlign w:val="bottom"/>
            <w:hideMark/>
          </w:tcPr>
          <w:p w14:paraId="2DEBCF5D" w14:textId="77777777" w:rsidR="00BA21C0" w:rsidRPr="00B33D62" w:rsidRDefault="00BA21C0" w:rsidP="00BA21C0">
            <w:pPr>
              <w:rPr>
                <w:rFonts w:eastAsia="Times New Roman"/>
                <w:color w:val="000000"/>
                <w:sz w:val="20"/>
                <w:lang w:val="en-US" w:eastAsia="fi-FI"/>
              </w:rPr>
            </w:pPr>
            <w:r w:rsidRPr="00B33D62">
              <w:rPr>
                <w:rFonts w:eastAsia="Times New Roman"/>
                <w:color w:val="000000"/>
                <w:sz w:val="20"/>
                <w:lang w:val="en-US" w:eastAsia="fi-FI"/>
              </w:rPr>
              <w:t> </w:t>
            </w:r>
          </w:p>
        </w:tc>
        <w:tc>
          <w:tcPr>
            <w:tcW w:w="4659" w:type="dxa"/>
            <w:gridSpan w:val="2"/>
            <w:tcBorders>
              <w:top w:val="single" w:sz="4" w:space="0" w:color="000000"/>
              <w:left w:val="nil"/>
              <w:bottom w:val="single" w:sz="4" w:space="0" w:color="000000"/>
              <w:right w:val="nil"/>
            </w:tcBorders>
            <w:shd w:val="clear" w:color="auto" w:fill="auto"/>
            <w:vAlign w:val="bottom"/>
            <w:hideMark/>
          </w:tcPr>
          <w:p w14:paraId="4A7EF774"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Sub-sample</w:t>
            </w:r>
          </w:p>
        </w:tc>
      </w:tr>
      <w:tr w:rsidR="00BA21C0" w:rsidRPr="009D376C" w14:paraId="67A42C74" w14:textId="77777777" w:rsidTr="0019543A">
        <w:trPr>
          <w:trHeight w:val="257"/>
          <w:jc w:val="center"/>
        </w:trPr>
        <w:tc>
          <w:tcPr>
            <w:tcW w:w="2658" w:type="dxa"/>
            <w:vMerge/>
            <w:tcBorders>
              <w:top w:val="single" w:sz="4" w:space="0" w:color="000000"/>
              <w:left w:val="nil"/>
              <w:bottom w:val="single" w:sz="4" w:space="0" w:color="000000"/>
              <w:right w:val="nil"/>
            </w:tcBorders>
            <w:vAlign w:val="center"/>
            <w:hideMark/>
          </w:tcPr>
          <w:p w14:paraId="76707C0A" w14:textId="77777777" w:rsidR="00BA21C0" w:rsidRPr="00B33D62" w:rsidRDefault="00BA21C0" w:rsidP="00BA21C0">
            <w:pPr>
              <w:rPr>
                <w:rFonts w:eastAsia="Times New Roman"/>
                <w:color w:val="000000"/>
                <w:sz w:val="20"/>
                <w:lang w:eastAsia="fi-FI"/>
              </w:rPr>
            </w:pPr>
          </w:p>
        </w:tc>
        <w:tc>
          <w:tcPr>
            <w:tcW w:w="3013" w:type="dxa"/>
            <w:tcBorders>
              <w:top w:val="nil"/>
              <w:left w:val="nil"/>
              <w:bottom w:val="single" w:sz="4" w:space="0" w:color="000000"/>
              <w:right w:val="nil"/>
            </w:tcBorders>
            <w:shd w:val="clear" w:color="auto" w:fill="auto"/>
            <w:vAlign w:val="bottom"/>
            <w:hideMark/>
          </w:tcPr>
          <w:p w14:paraId="54538CBC"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Control</w:t>
            </w:r>
          </w:p>
        </w:tc>
        <w:tc>
          <w:tcPr>
            <w:tcW w:w="1645" w:type="dxa"/>
            <w:tcBorders>
              <w:top w:val="nil"/>
              <w:left w:val="nil"/>
              <w:bottom w:val="single" w:sz="4" w:space="0" w:color="000000"/>
              <w:right w:val="nil"/>
            </w:tcBorders>
            <w:shd w:val="clear" w:color="auto" w:fill="auto"/>
            <w:vAlign w:val="bottom"/>
            <w:hideMark/>
          </w:tcPr>
          <w:p w14:paraId="244AE0F0"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Incentive</w:t>
            </w:r>
          </w:p>
        </w:tc>
      </w:tr>
      <w:tr w:rsidR="00BA21C0" w:rsidRPr="009D376C" w14:paraId="0526D4E8" w14:textId="77777777" w:rsidTr="0019543A">
        <w:trPr>
          <w:trHeight w:val="257"/>
          <w:jc w:val="center"/>
        </w:trPr>
        <w:tc>
          <w:tcPr>
            <w:tcW w:w="2658" w:type="dxa"/>
            <w:tcBorders>
              <w:top w:val="nil"/>
              <w:left w:val="nil"/>
              <w:bottom w:val="nil"/>
              <w:right w:val="nil"/>
            </w:tcBorders>
            <w:shd w:val="clear" w:color="auto" w:fill="auto"/>
            <w:hideMark/>
          </w:tcPr>
          <w:p w14:paraId="204A531B"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Strongly religious (6-7)</w:t>
            </w:r>
          </w:p>
        </w:tc>
        <w:tc>
          <w:tcPr>
            <w:tcW w:w="3013" w:type="dxa"/>
            <w:tcBorders>
              <w:top w:val="nil"/>
              <w:left w:val="nil"/>
              <w:bottom w:val="nil"/>
              <w:right w:val="nil"/>
            </w:tcBorders>
            <w:shd w:val="clear" w:color="auto" w:fill="auto"/>
            <w:noWrap/>
            <w:hideMark/>
          </w:tcPr>
          <w:p w14:paraId="5E62FB0A"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7,4%</w:t>
            </w:r>
          </w:p>
        </w:tc>
        <w:tc>
          <w:tcPr>
            <w:tcW w:w="1645" w:type="dxa"/>
            <w:tcBorders>
              <w:top w:val="nil"/>
              <w:left w:val="nil"/>
              <w:bottom w:val="nil"/>
              <w:right w:val="nil"/>
            </w:tcBorders>
            <w:shd w:val="clear" w:color="auto" w:fill="auto"/>
            <w:noWrap/>
            <w:hideMark/>
          </w:tcPr>
          <w:p w14:paraId="16458C5F"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7,8%</w:t>
            </w:r>
          </w:p>
        </w:tc>
      </w:tr>
      <w:tr w:rsidR="00BA21C0" w:rsidRPr="009D376C" w14:paraId="3BF7C03C" w14:textId="77777777" w:rsidTr="0019543A">
        <w:trPr>
          <w:trHeight w:val="257"/>
          <w:jc w:val="center"/>
        </w:trPr>
        <w:tc>
          <w:tcPr>
            <w:tcW w:w="2658" w:type="dxa"/>
            <w:tcBorders>
              <w:top w:val="nil"/>
              <w:left w:val="nil"/>
              <w:right w:val="nil"/>
            </w:tcBorders>
            <w:shd w:val="clear" w:color="auto" w:fill="auto"/>
            <w:hideMark/>
          </w:tcPr>
          <w:p w14:paraId="3DC28B31"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Indifferent (3-5)</w:t>
            </w:r>
          </w:p>
        </w:tc>
        <w:tc>
          <w:tcPr>
            <w:tcW w:w="3013" w:type="dxa"/>
            <w:tcBorders>
              <w:top w:val="nil"/>
              <w:left w:val="nil"/>
              <w:right w:val="nil"/>
            </w:tcBorders>
            <w:shd w:val="clear" w:color="auto" w:fill="auto"/>
            <w:noWrap/>
            <w:hideMark/>
          </w:tcPr>
          <w:p w14:paraId="6B62B881"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58,6%</w:t>
            </w:r>
          </w:p>
        </w:tc>
        <w:tc>
          <w:tcPr>
            <w:tcW w:w="1645" w:type="dxa"/>
            <w:tcBorders>
              <w:top w:val="nil"/>
              <w:left w:val="nil"/>
              <w:right w:val="nil"/>
            </w:tcBorders>
            <w:shd w:val="clear" w:color="auto" w:fill="auto"/>
            <w:noWrap/>
            <w:hideMark/>
          </w:tcPr>
          <w:p w14:paraId="454D27AC"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61,5%</w:t>
            </w:r>
          </w:p>
        </w:tc>
      </w:tr>
      <w:tr w:rsidR="00BA21C0" w:rsidRPr="009D376C" w14:paraId="4F532FD9" w14:textId="77777777" w:rsidTr="0019543A">
        <w:trPr>
          <w:trHeight w:val="460"/>
          <w:jc w:val="center"/>
        </w:trPr>
        <w:tc>
          <w:tcPr>
            <w:tcW w:w="2658" w:type="dxa"/>
            <w:tcBorders>
              <w:top w:val="nil"/>
              <w:left w:val="nil"/>
              <w:bottom w:val="single" w:sz="4" w:space="0" w:color="auto"/>
              <w:right w:val="nil"/>
            </w:tcBorders>
            <w:shd w:val="clear" w:color="auto" w:fill="auto"/>
            <w:hideMark/>
          </w:tcPr>
          <w:p w14:paraId="2A9693F7"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Strongly non-religious (1-2)</w:t>
            </w:r>
          </w:p>
        </w:tc>
        <w:tc>
          <w:tcPr>
            <w:tcW w:w="3013" w:type="dxa"/>
            <w:tcBorders>
              <w:top w:val="nil"/>
              <w:left w:val="nil"/>
              <w:bottom w:val="single" w:sz="4" w:space="0" w:color="auto"/>
              <w:right w:val="nil"/>
            </w:tcBorders>
            <w:shd w:val="clear" w:color="auto" w:fill="auto"/>
            <w:noWrap/>
            <w:hideMark/>
          </w:tcPr>
          <w:p w14:paraId="6DB74039"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34,0%</w:t>
            </w:r>
          </w:p>
        </w:tc>
        <w:tc>
          <w:tcPr>
            <w:tcW w:w="1645" w:type="dxa"/>
            <w:tcBorders>
              <w:top w:val="nil"/>
              <w:left w:val="nil"/>
              <w:bottom w:val="single" w:sz="4" w:space="0" w:color="auto"/>
              <w:right w:val="nil"/>
            </w:tcBorders>
            <w:shd w:val="clear" w:color="auto" w:fill="auto"/>
            <w:noWrap/>
            <w:hideMark/>
          </w:tcPr>
          <w:p w14:paraId="2A27AE37"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30,6%</w:t>
            </w:r>
          </w:p>
        </w:tc>
      </w:tr>
    </w:tbl>
    <w:p w14:paraId="455F76B1" w14:textId="77777777" w:rsidR="00BA21C0" w:rsidRPr="009D376C" w:rsidRDefault="00BA21C0" w:rsidP="00BA21C0">
      <w:pPr>
        <w:rPr>
          <w:lang w:val="en-US"/>
        </w:rPr>
      </w:pPr>
      <w:r w:rsidRPr="009D376C">
        <w:rPr>
          <w:lang w:val="en-US"/>
        </w:rPr>
        <w:t>Chi²~1.529; df=2; p~0.466</w:t>
      </w:r>
    </w:p>
    <w:p w14:paraId="093808C6" w14:textId="77777777" w:rsidR="00F47414" w:rsidRDefault="00BA21C0" w:rsidP="00BA21C0">
      <w:pPr>
        <w:rPr>
          <w:lang w:val="en-US"/>
        </w:rPr>
      </w:pPr>
      <w:proofErr w:type="gramStart"/>
      <w:r w:rsidRPr="009D376C">
        <w:rPr>
          <w:lang w:val="en-US"/>
        </w:rPr>
        <w:t>Final</w:t>
      </w:r>
      <w:r w:rsidR="00B33D62">
        <w:rPr>
          <w:lang w:val="en-US"/>
        </w:rPr>
        <w:t>l</w:t>
      </w:r>
      <w:r w:rsidRPr="009D376C">
        <w:rPr>
          <w:lang w:val="en-US"/>
        </w:rPr>
        <w:t>y</w:t>
      </w:r>
      <w:proofErr w:type="gramEnd"/>
      <w:r w:rsidRPr="009D376C">
        <w:rPr>
          <w:lang w:val="en-US"/>
        </w:rPr>
        <w:t xml:space="preserve"> we </w:t>
      </w:r>
      <w:r w:rsidR="00B33D62">
        <w:rPr>
          <w:lang w:val="en-US"/>
        </w:rPr>
        <w:t>we</w:t>
      </w:r>
      <w:r w:rsidRPr="009D376C">
        <w:rPr>
          <w:lang w:val="en-US"/>
        </w:rPr>
        <w:t>re able to assess the quality of data by comparing the estimated belonging to various religious communities to benchmark register based data obt</w:t>
      </w:r>
      <w:r w:rsidR="0082379F">
        <w:rPr>
          <w:lang w:val="en-US"/>
        </w:rPr>
        <w:softHyphen/>
      </w:r>
      <w:r w:rsidRPr="009D376C">
        <w:rPr>
          <w:lang w:val="en-US"/>
        </w:rPr>
        <w:t xml:space="preserve">ained from Statistics Finland population statistics. Table </w:t>
      </w:r>
      <w:r w:rsidR="00F47414">
        <w:rPr>
          <w:lang w:val="en-US"/>
        </w:rPr>
        <w:t>5</w:t>
      </w:r>
      <w:r w:rsidRPr="009D376C">
        <w:rPr>
          <w:lang w:val="en-US"/>
        </w:rPr>
        <w:t xml:space="preserve"> presents the </w:t>
      </w:r>
      <w:proofErr w:type="gramStart"/>
      <w:r w:rsidRPr="009D376C">
        <w:rPr>
          <w:lang w:val="en-US"/>
        </w:rPr>
        <w:t>register based</w:t>
      </w:r>
      <w:proofErr w:type="gramEnd"/>
      <w:r w:rsidRPr="009D376C">
        <w:rPr>
          <w:lang w:val="en-US"/>
        </w:rPr>
        <w:t xml:space="preserve"> distribution which is compared with the estimated distributions of both sub-samples. </w:t>
      </w:r>
    </w:p>
    <w:p w14:paraId="7A593C7D" w14:textId="6D08E4A2" w:rsidR="00BA21C0" w:rsidRPr="0057402F" w:rsidRDefault="00F47414" w:rsidP="00BA21C0">
      <w:pPr>
        <w:rPr>
          <w:lang w:val="en-US"/>
        </w:rPr>
      </w:pPr>
      <w:r>
        <w:rPr>
          <w:lang w:val="en-US"/>
        </w:rPr>
        <w:t xml:space="preserve">For comparison of data </w:t>
      </w:r>
      <w:proofErr w:type="gramStart"/>
      <w:r>
        <w:rPr>
          <w:lang w:val="en-US"/>
        </w:rPr>
        <w:t>quality</w:t>
      </w:r>
      <w:proofErr w:type="gramEnd"/>
      <w:r>
        <w:rPr>
          <w:lang w:val="en-US"/>
        </w:rPr>
        <w:t xml:space="preserve"> w</w:t>
      </w:r>
      <w:r w:rsidR="00BA21C0" w:rsidRPr="009D376C">
        <w:rPr>
          <w:lang w:val="en-US"/>
        </w:rPr>
        <w:t xml:space="preserve">e calculate </w:t>
      </w:r>
      <w:r>
        <w:rPr>
          <w:lang w:val="en-US"/>
        </w:rPr>
        <w:t>an</w:t>
      </w:r>
      <w:r w:rsidR="00BA21C0" w:rsidRPr="009D376C">
        <w:rPr>
          <w:lang w:val="en-US"/>
        </w:rPr>
        <w:t xml:space="preserve"> index of dissimilarity as a summary measure for the consistency of the ISSP subsample and register based distributions. In this comparison, a value of 0 indicates that there is no dissimilarity between the religious community membership estimate and benchmark data. This value can be interpreted as the percentage of respondents that should change categories to produce the same distribution as in the benchmark data. For the distribution in the control group, we measure a dissimilarity of 8.2 whereas the observed dissimilarity is somewhat higher in the incentive group (12.9). This finding seems to indicate that the latter distribution is more biased than the control group. </w:t>
      </w:r>
      <w:proofErr w:type="gramStart"/>
      <w:r w:rsidR="00BA21C0" w:rsidRPr="009D376C">
        <w:rPr>
          <w:lang w:val="en-US"/>
        </w:rPr>
        <w:t>Thus</w:t>
      </w:r>
      <w:proofErr w:type="gramEnd"/>
      <w:r w:rsidR="00BA21C0" w:rsidRPr="009D376C">
        <w:rPr>
          <w:lang w:val="en-US"/>
        </w:rPr>
        <w:t xml:space="preserve"> somewhat contrary to our expectations we found the while the total sample seemed to significantly overestimate the proportion of non-members, this bias was found somewhat more prominent among the incentive group. The difference in the bias observed between experiment and control group remain small however. Though misreporting of religious community membership could be a possible explanation for observed difference, we nevertheless find the observed differences between sub-samples too small for inference.</w:t>
      </w:r>
    </w:p>
    <w:p w14:paraId="4C727F98" w14:textId="77777777" w:rsidR="00B33D62" w:rsidRDefault="00B33D62">
      <w:pPr>
        <w:spacing w:before="0" w:after="160" w:line="259" w:lineRule="auto"/>
        <w:jc w:val="left"/>
        <w:rPr>
          <w:lang w:val="en-US"/>
        </w:rPr>
      </w:pPr>
      <w:r>
        <w:rPr>
          <w:lang w:val="en-US"/>
        </w:rPr>
        <w:br w:type="page"/>
      </w:r>
    </w:p>
    <w:p w14:paraId="5F95D18B" w14:textId="77777777" w:rsidR="00BA21C0" w:rsidRPr="009D376C" w:rsidRDefault="00BA21C0" w:rsidP="00BA21C0">
      <w:pPr>
        <w:rPr>
          <w:lang w:val="en-US"/>
        </w:rPr>
      </w:pPr>
      <w:r w:rsidRPr="009D376C">
        <w:rPr>
          <w:lang w:val="en-US"/>
        </w:rPr>
        <w:lastRenderedPageBreak/>
        <w:t>Table 5. Estimated distributions of belonging into religious denominations compared with benchmark data</w:t>
      </w:r>
    </w:p>
    <w:tbl>
      <w:tblPr>
        <w:tblW w:w="9299" w:type="dxa"/>
        <w:tblCellMar>
          <w:left w:w="70" w:type="dxa"/>
          <w:right w:w="70" w:type="dxa"/>
        </w:tblCellMar>
        <w:tblLook w:val="04A0" w:firstRow="1" w:lastRow="0" w:firstColumn="1" w:lastColumn="0" w:noHBand="0" w:noVBand="1"/>
      </w:tblPr>
      <w:tblGrid>
        <w:gridCol w:w="2793"/>
        <w:gridCol w:w="1763"/>
        <w:gridCol w:w="1322"/>
        <w:gridCol w:w="487"/>
        <w:gridCol w:w="165"/>
        <w:gridCol w:w="965"/>
        <w:gridCol w:w="1804"/>
      </w:tblGrid>
      <w:tr w:rsidR="00BA21C0" w:rsidRPr="00B33D62" w14:paraId="5016860D" w14:textId="77777777" w:rsidTr="00B33D62">
        <w:trPr>
          <w:trHeight w:hRule="exact" w:val="881"/>
        </w:trPr>
        <w:tc>
          <w:tcPr>
            <w:tcW w:w="2793" w:type="dxa"/>
            <w:tcBorders>
              <w:top w:val="single" w:sz="4" w:space="0" w:color="auto"/>
              <w:left w:val="nil"/>
              <w:bottom w:val="single" w:sz="4" w:space="0" w:color="auto"/>
              <w:right w:val="nil"/>
            </w:tcBorders>
            <w:shd w:val="clear" w:color="auto" w:fill="auto"/>
            <w:noWrap/>
            <w:vAlign w:val="bottom"/>
            <w:hideMark/>
          </w:tcPr>
          <w:p w14:paraId="1194ADD8" w14:textId="77777777" w:rsidR="00BA21C0" w:rsidRPr="00B33D62" w:rsidRDefault="00BA21C0" w:rsidP="00BA21C0">
            <w:pPr>
              <w:rPr>
                <w:rFonts w:eastAsia="Times New Roman"/>
                <w:b/>
                <w:bCs/>
                <w:color w:val="000000"/>
                <w:sz w:val="20"/>
                <w:lang w:val="en-US" w:eastAsia="fi-FI"/>
              </w:rPr>
            </w:pPr>
            <w:r w:rsidRPr="00B33D62">
              <w:rPr>
                <w:rFonts w:eastAsia="Times New Roman"/>
                <w:b/>
                <w:bCs/>
                <w:color w:val="000000"/>
                <w:sz w:val="20"/>
                <w:lang w:val="en-US" w:eastAsia="fi-FI"/>
              </w:rPr>
              <w:t> </w:t>
            </w:r>
          </w:p>
        </w:tc>
        <w:tc>
          <w:tcPr>
            <w:tcW w:w="3085" w:type="dxa"/>
            <w:gridSpan w:val="2"/>
            <w:tcBorders>
              <w:top w:val="single" w:sz="4" w:space="0" w:color="auto"/>
              <w:left w:val="nil"/>
              <w:bottom w:val="single" w:sz="4" w:space="0" w:color="auto"/>
              <w:right w:val="nil"/>
            </w:tcBorders>
            <w:shd w:val="clear" w:color="auto" w:fill="auto"/>
            <w:noWrap/>
            <w:vAlign w:val="bottom"/>
            <w:hideMark/>
          </w:tcPr>
          <w:p w14:paraId="0FDE03F9" w14:textId="77777777" w:rsidR="00BA21C0" w:rsidRPr="00B33D62" w:rsidRDefault="00BA21C0" w:rsidP="00B33D62">
            <w:pPr>
              <w:jc w:val="left"/>
              <w:rPr>
                <w:rFonts w:eastAsia="Times New Roman"/>
                <w:b/>
                <w:bCs/>
                <w:color w:val="000000"/>
                <w:sz w:val="20"/>
                <w:lang w:val="en-US" w:eastAsia="fi-FI"/>
              </w:rPr>
            </w:pPr>
            <w:r w:rsidRPr="00B33D62">
              <w:rPr>
                <w:rFonts w:eastAsia="Times New Roman"/>
                <w:b/>
                <w:bCs/>
                <w:color w:val="000000"/>
                <w:sz w:val="20"/>
                <w:lang w:val="en-US" w:eastAsia="fi-FI"/>
              </w:rPr>
              <w:t>Religious denomination in population statistics</w:t>
            </w:r>
          </w:p>
        </w:tc>
        <w:tc>
          <w:tcPr>
            <w:tcW w:w="1617" w:type="dxa"/>
            <w:gridSpan w:val="3"/>
            <w:tcBorders>
              <w:top w:val="single" w:sz="4" w:space="0" w:color="auto"/>
              <w:left w:val="nil"/>
              <w:bottom w:val="single" w:sz="4" w:space="0" w:color="auto"/>
              <w:right w:val="nil"/>
            </w:tcBorders>
            <w:shd w:val="clear" w:color="auto" w:fill="auto"/>
            <w:noWrap/>
            <w:vAlign w:val="bottom"/>
            <w:hideMark/>
          </w:tcPr>
          <w:p w14:paraId="534B2C64" w14:textId="77777777" w:rsidR="00BA21C0" w:rsidRPr="00B33D62" w:rsidRDefault="00BA21C0" w:rsidP="00BA21C0">
            <w:pPr>
              <w:rPr>
                <w:rFonts w:eastAsia="Times New Roman"/>
                <w:b/>
                <w:bCs/>
                <w:color w:val="000000"/>
                <w:sz w:val="20"/>
                <w:lang w:eastAsia="fi-FI"/>
              </w:rPr>
            </w:pPr>
            <w:r w:rsidRPr="00B33D62">
              <w:rPr>
                <w:rFonts w:eastAsia="Times New Roman"/>
                <w:b/>
                <w:bCs/>
                <w:color w:val="000000"/>
                <w:sz w:val="20"/>
                <w:lang w:eastAsia="fi-FI"/>
              </w:rPr>
              <w:t>Control group</w:t>
            </w:r>
          </w:p>
        </w:tc>
        <w:tc>
          <w:tcPr>
            <w:tcW w:w="1804" w:type="dxa"/>
            <w:tcBorders>
              <w:top w:val="single" w:sz="4" w:space="0" w:color="auto"/>
              <w:left w:val="nil"/>
              <w:bottom w:val="single" w:sz="4" w:space="0" w:color="auto"/>
              <w:right w:val="nil"/>
            </w:tcBorders>
            <w:shd w:val="clear" w:color="auto" w:fill="auto"/>
            <w:noWrap/>
            <w:vAlign w:val="bottom"/>
            <w:hideMark/>
          </w:tcPr>
          <w:p w14:paraId="05F2D65E" w14:textId="77777777" w:rsidR="00BA21C0" w:rsidRPr="00B33D62" w:rsidRDefault="00BA21C0" w:rsidP="00BA21C0">
            <w:pPr>
              <w:rPr>
                <w:rFonts w:eastAsia="Times New Roman"/>
                <w:b/>
                <w:bCs/>
                <w:color w:val="000000"/>
                <w:sz w:val="20"/>
                <w:lang w:eastAsia="fi-FI"/>
              </w:rPr>
            </w:pPr>
            <w:r w:rsidRPr="00B33D62">
              <w:rPr>
                <w:rFonts w:eastAsia="Times New Roman"/>
                <w:b/>
                <w:bCs/>
                <w:color w:val="000000"/>
                <w:sz w:val="20"/>
                <w:lang w:eastAsia="fi-FI"/>
              </w:rPr>
              <w:t>Incentive group</w:t>
            </w:r>
          </w:p>
        </w:tc>
      </w:tr>
      <w:tr w:rsidR="00BA21C0" w:rsidRPr="00B33D62" w14:paraId="29A483A1" w14:textId="77777777" w:rsidTr="00B33D62">
        <w:trPr>
          <w:trHeight w:hRule="exact" w:val="373"/>
        </w:trPr>
        <w:tc>
          <w:tcPr>
            <w:tcW w:w="2793" w:type="dxa"/>
            <w:tcBorders>
              <w:top w:val="nil"/>
              <w:left w:val="nil"/>
              <w:bottom w:val="nil"/>
              <w:right w:val="nil"/>
            </w:tcBorders>
            <w:shd w:val="clear" w:color="000000" w:fill="FFFFFF"/>
            <w:noWrap/>
            <w:vAlign w:val="center"/>
            <w:hideMark/>
          </w:tcPr>
          <w:p w14:paraId="0B217984"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Evangelical Lutheran</w:t>
            </w:r>
          </w:p>
        </w:tc>
        <w:tc>
          <w:tcPr>
            <w:tcW w:w="1763" w:type="dxa"/>
            <w:tcBorders>
              <w:top w:val="nil"/>
              <w:left w:val="nil"/>
              <w:bottom w:val="nil"/>
              <w:right w:val="nil"/>
            </w:tcBorders>
            <w:shd w:val="clear" w:color="000000" w:fill="FFFFFF"/>
            <w:noWrap/>
            <w:vAlign w:val="center"/>
            <w:hideMark/>
          </w:tcPr>
          <w:p w14:paraId="1E3F79CC"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3 912 187</w:t>
            </w:r>
          </w:p>
        </w:tc>
        <w:tc>
          <w:tcPr>
            <w:tcW w:w="1321" w:type="dxa"/>
            <w:tcBorders>
              <w:top w:val="nil"/>
              <w:left w:val="nil"/>
              <w:bottom w:val="nil"/>
              <w:right w:val="nil"/>
            </w:tcBorders>
            <w:shd w:val="clear" w:color="000000" w:fill="FFFFFF"/>
            <w:noWrap/>
            <w:vAlign w:val="center"/>
            <w:hideMark/>
          </w:tcPr>
          <w:p w14:paraId="04304D79" w14:textId="77777777" w:rsidR="00BA21C0" w:rsidRPr="00B33D62" w:rsidRDefault="00BA21C0" w:rsidP="00BA21C0">
            <w:pPr>
              <w:rPr>
                <w:rFonts w:eastAsia="Times New Roman"/>
                <w:b/>
                <w:bCs/>
                <w:color w:val="000000"/>
                <w:sz w:val="20"/>
                <w:lang w:eastAsia="fi-FI"/>
              </w:rPr>
            </w:pPr>
            <w:r w:rsidRPr="00B33D62">
              <w:rPr>
                <w:rFonts w:eastAsia="Times New Roman"/>
                <w:b/>
                <w:bCs/>
                <w:color w:val="000000"/>
                <w:sz w:val="20"/>
                <w:lang w:eastAsia="fi-FI"/>
              </w:rPr>
              <w:t>71,0 %</w:t>
            </w:r>
          </w:p>
        </w:tc>
        <w:tc>
          <w:tcPr>
            <w:tcW w:w="1617" w:type="dxa"/>
            <w:gridSpan w:val="3"/>
            <w:tcBorders>
              <w:top w:val="nil"/>
              <w:left w:val="nil"/>
              <w:bottom w:val="nil"/>
              <w:right w:val="nil"/>
            </w:tcBorders>
            <w:shd w:val="clear" w:color="000000" w:fill="FFFFFF"/>
            <w:noWrap/>
            <w:vAlign w:val="center"/>
            <w:hideMark/>
          </w:tcPr>
          <w:p w14:paraId="4C18BD93" w14:textId="77777777" w:rsidR="00BA21C0" w:rsidRPr="00B33D62" w:rsidRDefault="00BA21C0" w:rsidP="00BA21C0">
            <w:pPr>
              <w:rPr>
                <w:rFonts w:eastAsia="Times New Roman"/>
                <w:b/>
                <w:bCs/>
                <w:color w:val="000000"/>
                <w:sz w:val="20"/>
                <w:lang w:eastAsia="fi-FI"/>
              </w:rPr>
            </w:pPr>
            <w:r w:rsidRPr="00B33D62">
              <w:rPr>
                <w:rFonts w:eastAsia="Times New Roman"/>
                <w:b/>
                <w:bCs/>
                <w:color w:val="000000"/>
                <w:sz w:val="20"/>
                <w:lang w:eastAsia="fi-FI"/>
              </w:rPr>
              <w:t>62,8 %</w:t>
            </w:r>
          </w:p>
        </w:tc>
        <w:tc>
          <w:tcPr>
            <w:tcW w:w="1804" w:type="dxa"/>
            <w:tcBorders>
              <w:top w:val="nil"/>
              <w:left w:val="nil"/>
              <w:bottom w:val="nil"/>
              <w:right w:val="nil"/>
            </w:tcBorders>
            <w:shd w:val="clear" w:color="000000" w:fill="FFFFFF"/>
            <w:noWrap/>
            <w:vAlign w:val="center"/>
            <w:hideMark/>
          </w:tcPr>
          <w:p w14:paraId="6C2D8718" w14:textId="77777777" w:rsidR="00BA21C0" w:rsidRPr="00B33D62" w:rsidRDefault="00BA21C0" w:rsidP="00BA21C0">
            <w:pPr>
              <w:rPr>
                <w:rFonts w:eastAsia="Times New Roman"/>
                <w:b/>
                <w:bCs/>
                <w:color w:val="000000"/>
                <w:sz w:val="20"/>
                <w:lang w:eastAsia="fi-FI"/>
              </w:rPr>
            </w:pPr>
            <w:r w:rsidRPr="00B33D62">
              <w:rPr>
                <w:rFonts w:eastAsia="Times New Roman"/>
                <w:b/>
                <w:bCs/>
                <w:color w:val="000000"/>
                <w:sz w:val="20"/>
                <w:lang w:eastAsia="fi-FI"/>
              </w:rPr>
              <w:t>59,2 %</w:t>
            </w:r>
          </w:p>
        </w:tc>
      </w:tr>
      <w:tr w:rsidR="00BA21C0" w:rsidRPr="00B33D62" w14:paraId="03C347BA" w14:textId="77777777" w:rsidTr="00B33D62">
        <w:trPr>
          <w:trHeight w:hRule="exact" w:val="373"/>
        </w:trPr>
        <w:tc>
          <w:tcPr>
            <w:tcW w:w="2793" w:type="dxa"/>
            <w:tcBorders>
              <w:top w:val="nil"/>
              <w:left w:val="nil"/>
              <w:bottom w:val="nil"/>
              <w:right w:val="nil"/>
            </w:tcBorders>
            <w:shd w:val="clear" w:color="000000" w:fill="FFFFFF"/>
            <w:noWrap/>
            <w:vAlign w:val="center"/>
            <w:hideMark/>
          </w:tcPr>
          <w:p w14:paraId="275A7E26"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Russian Orthodox</w:t>
            </w:r>
          </w:p>
        </w:tc>
        <w:tc>
          <w:tcPr>
            <w:tcW w:w="1763" w:type="dxa"/>
            <w:tcBorders>
              <w:top w:val="nil"/>
              <w:left w:val="nil"/>
              <w:bottom w:val="nil"/>
              <w:right w:val="nil"/>
            </w:tcBorders>
            <w:shd w:val="clear" w:color="000000" w:fill="FFFFFF"/>
            <w:noWrap/>
            <w:vAlign w:val="center"/>
            <w:hideMark/>
          </w:tcPr>
          <w:p w14:paraId="55A6364B"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61 441</w:t>
            </w:r>
          </w:p>
        </w:tc>
        <w:tc>
          <w:tcPr>
            <w:tcW w:w="1321" w:type="dxa"/>
            <w:tcBorders>
              <w:top w:val="nil"/>
              <w:left w:val="nil"/>
              <w:bottom w:val="nil"/>
              <w:right w:val="nil"/>
            </w:tcBorders>
            <w:shd w:val="clear" w:color="000000" w:fill="FFFFFF"/>
            <w:noWrap/>
            <w:vAlign w:val="center"/>
            <w:hideMark/>
          </w:tcPr>
          <w:p w14:paraId="647DC7D1"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1,1 %</w:t>
            </w:r>
          </w:p>
        </w:tc>
        <w:tc>
          <w:tcPr>
            <w:tcW w:w="1617" w:type="dxa"/>
            <w:gridSpan w:val="3"/>
            <w:tcBorders>
              <w:top w:val="nil"/>
              <w:left w:val="nil"/>
              <w:bottom w:val="nil"/>
              <w:right w:val="nil"/>
            </w:tcBorders>
            <w:shd w:val="clear" w:color="000000" w:fill="FFFFFF"/>
            <w:noWrap/>
            <w:vAlign w:val="center"/>
            <w:hideMark/>
          </w:tcPr>
          <w:p w14:paraId="48677E55"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2,2 %</w:t>
            </w:r>
          </w:p>
        </w:tc>
        <w:tc>
          <w:tcPr>
            <w:tcW w:w="1804" w:type="dxa"/>
            <w:tcBorders>
              <w:top w:val="nil"/>
              <w:left w:val="nil"/>
              <w:bottom w:val="nil"/>
              <w:right w:val="nil"/>
            </w:tcBorders>
            <w:shd w:val="clear" w:color="000000" w:fill="FFFFFF"/>
            <w:noWrap/>
            <w:vAlign w:val="center"/>
            <w:hideMark/>
          </w:tcPr>
          <w:p w14:paraId="456661D0"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1,7 %</w:t>
            </w:r>
          </w:p>
        </w:tc>
      </w:tr>
      <w:tr w:rsidR="00BA21C0" w:rsidRPr="00B33D62" w14:paraId="66223F03" w14:textId="77777777" w:rsidTr="00B33D62">
        <w:trPr>
          <w:trHeight w:hRule="exact" w:val="373"/>
        </w:trPr>
        <w:tc>
          <w:tcPr>
            <w:tcW w:w="2793" w:type="dxa"/>
            <w:tcBorders>
              <w:top w:val="nil"/>
              <w:left w:val="nil"/>
              <w:bottom w:val="nil"/>
              <w:right w:val="nil"/>
            </w:tcBorders>
            <w:shd w:val="clear" w:color="000000" w:fill="FFFFFF"/>
            <w:noWrap/>
            <w:vAlign w:val="center"/>
            <w:hideMark/>
          </w:tcPr>
          <w:p w14:paraId="75A351E8"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Catholic</w:t>
            </w:r>
          </w:p>
        </w:tc>
        <w:tc>
          <w:tcPr>
            <w:tcW w:w="1763" w:type="dxa"/>
            <w:tcBorders>
              <w:top w:val="nil"/>
              <w:left w:val="nil"/>
              <w:bottom w:val="nil"/>
              <w:right w:val="nil"/>
            </w:tcBorders>
            <w:shd w:val="clear" w:color="000000" w:fill="FFFFFF"/>
            <w:noWrap/>
            <w:vAlign w:val="center"/>
            <w:hideMark/>
          </w:tcPr>
          <w:p w14:paraId="158A18FC"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14 169</w:t>
            </w:r>
          </w:p>
        </w:tc>
        <w:tc>
          <w:tcPr>
            <w:tcW w:w="1321" w:type="dxa"/>
            <w:tcBorders>
              <w:top w:val="nil"/>
              <w:left w:val="nil"/>
              <w:bottom w:val="nil"/>
              <w:right w:val="nil"/>
            </w:tcBorders>
            <w:shd w:val="clear" w:color="000000" w:fill="FFFFFF"/>
            <w:noWrap/>
            <w:vAlign w:val="center"/>
            <w:hideMark/>
          </w:tcPr>
          <w:p w14:paraId="6DED3E01"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0,3 %</w:t>
            </w:r>
          </w:p>
        </w:tc>
        <w:tc>
          <w:tcPr>
            <w:tcW w:w="1617" w:type="dxa"/>
            <w:gridSpan w:val="3"/>
            <w:tcBorders>
              <w:top w:val="nil"/>
              <w:left w:val="nil"/>
              <w:bottom w:val="nil"/>
              <w:right w:val="nil"/>
            </w:tcBorders>
            <w:shd w:val="clear" w:color="000000" w:fill="FFFFFF"/>
            <w:noWrap/>
            <w:vAlign w:val="center"/>
            <w:hideMark/>
          </w:tcPr>
          <w:p w14:paraId="4170B0FD"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1,1 %</w:t>
            </w:r>
          </w:p>
        </w:tc>
        <w:tc>
          <w:tcPr>
            <w:tcW w:w="1804" w:type="dxa"/>
            <w:tcBorders>
              <w:top w:val="nil"/>
              <w:left w:val="nil"/>
              <w:bottom w:val="nil"/>
              <w:right w:val="nil"/>
            </w:tcBorders>
            <w:shd w:val="clear" w:color="000000" w:fill="FFFFFF"/>
            <w:noWrap/>
            <w:vAlign w:val="center"/>
            <w:hideMark/>
          </w:tcPr>
          <w:p w14:paraId="1B42A0DF"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0,3 %</w:t>
            </w:r>
          </w:p>
        </w:tc>
      </w:tr>
      <w:tr w:rsidR="00BA21C0" w:rsidRPr="00B33D62" w14:paraId="6872F388" w14:textId="77777777" w:rsidTr="00B33D62">
        <w:trPr>
          <w:trHeight w:hRule="exact" w:val="373"/>
        </w:trPr>
        <w:tc>
          <w:tcPr>
            <w:tcW w:w="2793" w:type="dxa"/>
            <w:tcBorders>
              <w:top w:val="nil"/>
              <w:left w:val="nil"/>
              <w:bottom w:val="nil"/>
              <w:right w:val="nil"/>
            </w:tcBorders>
            <w:shd w:val="clear" w:color="000000" w:fill="FFFFFF"/>
            <w:noWrap/>
            <w:vAlign w:val="center"/>
            <w:hideMark/>
          </w:tcPr>
          <w:p w14:paraId="4AD8322D"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 xml:space="preserve">Other </w:t>
            </w:r>
            <w:proofErr w:type="spellStart"/>
            <w:r w:rsidRPr="00B33D62">
              <w:rPr>
                <w:rFonts w:eastAsia="Times New Roman"/>
                <w:color w:val="000000"/>
                <w:sz w:val="20"/>
                <w:lang w:eastAsia="fi-FI"/>
              </w:rPr>
              <w:t>christian</w:t>
            </w:r>
            <w:proofErr w:type="spellEnd"/>
          </w:p>
        </w:tc>
        <w:tc>
          <w:tcPr>
            <w:tcW w:w="1763" w:type="dxa"/>
            <w:tcBorders>
              <w:top w:val="nil"/>
              <w:left w:val="nil"/>
              <w:bottom w:val="nil"/>
              <w:right w:val="nil"/>
            </w:tcBorders>
            <w:shd w:val="clear" w:color="000000" w:fill="FFFFFF"/>
            <w:noWrap/>
            <w:vAlign w:val="center"/>
            <w:hideMark/>
          </w:tcPr>
          <w:p w14:paraId="6309CB40"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55 087</w:t>
            </w:r>
          </w:p>
        </w:tc>
        <w:tc>
          <w:tcPr>
            <w:tcW w:w="1321" w:type="dxa"/>
            <w:tcBorders>
              <w:top w:val="nil"/>
              <w:left w:val="nil"/>
              <w:bottom w:val="nil"/>
              <w:right w:val="nil"/>
            </w:tcBorders>
            <w:shd w:val="clear" w:color="000000" w:fill="FFFFFF"/>
            <w:noWrap/>
            <w:vAlign w:val="center"/>
            <w:hideMark/>
          </w:tcPr>
          <w:p w14:paraId="09C74D77"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1,0 %</w:t>
            </w:r>
          </w:p>
        </w:tc>
        <w:tc>
          <w:tcPr>
            <w:tcW w:w="1617" w:type="dxa"/>
            <w:gridSpan w:val="3"/>
            <w:tcBorders>
              <w:top w:val="nil"/>
              <w:left w:val="nil"/>
              <w:bottom w:val="nil"/>
              <w:right w:val="nil"/>
            </w:tcBorders>
            <w:shd w:val="clear" w:color="000000" w:fill="FFFFFF"/>
            <w:noWrap/>
            <w:vAlign w:val="center"/>
            <w:hideMark/>
          </w:tcPr>
          <w:p w14:paraId="3DF38155"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1,5 %</w:t>
            </w:r>
          </w:p>
        </w:tc>
        <w:tc>
          <w:tcPr>
            <w:tcW w:w="1804" w:type="dxa"/>
            <w:tcBorders>
              <w:top w:val="nil"/>
              <w:left w:val="nil"/>
              <w:bottom w:val="nil"/>
              <w:right w:val="nil"/>
            </w:tcBorders>
            <w:shd w:val="clear" w:color="000000" w:fill="FFFFFF"/>
            <w:noWrap/>
            <w:vAlign w:val="center"/>
            <w:hideMark/>
          </w:tcPr>
          <w:p w14:paraId="41B56F13"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3,5 %</w:t>
            </w:r>
          </w:p>
        </w:tc>
      </w:tr>
      <w:tr w:rsidR="00BA21C0" w:rsidRPr="00B33D62" w14:paraId="62BC9244" w14:textId="77777777" w:rsidTr="00B33D62">
        <w:trPr>
          <w:trHeight w:hRule="exact" w:val="373"/>
        </w:trPr>
        <w:tc>
          <w:tcPr>
            <w:tcW w:w="2793" w:type="dxa"/>
            <w:tcBorders>
              <w:top w:val="nil"/>
              <w:left w:val="nil"/>
              <w:bottom w:val="nil"/>
              <w:right w:val="nil"/>
            </w:tcBorders>
            <w:shd w:val="clear" w:color="000000" w:fill="FFFFFF"/>
            <w:noWrap/>
            <w:vAlign w:val="center"/>
            <w:hideMark/>
          </w:tcPr>
          <w:p w14:paraId="1CF59B20"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Jewish</w:t>
            </w:r>
          </w:p>
        </w:tc>
        <w:tc>
          <w:tcPr>
            <w:tcW w:w="1763" w:type="dxa"/>
            <w:tcBorders>
              <w:top w:val="nil"/>
              <w:left w:val="nil"/>
              <w:bottom w:val="nil"/>
              <w:right w:val="nil"/>
            </w:tcBorders>
            <w:shd w:val="clear" w:color="000000" w:fill="FFFFFF"/>
            <w:noWrap/>
            <w:vAlign w:val="center"/>
            <w:hideMark/>
          </w:tcPr>
          <w:p w14:paraId="154CD1A0"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1 093</w:t>
            </w:r>
          </w:p>
        </w:tc>
        <w:tc>
          <w:tcPr>
            <w:tcW w:w="1321" w:type="dxa"/>
            <w:tcBorders>
              <w:top w:val="nil"/>
              <w:left w:val="nil"/>
              <w:bottom w:val="nil"/>
              <w:right w:val="nil"/>
            </w:tcBorders>
            <w:shd w:val="clear" w:color="000000" w:fill="FFFFFF"/>
            <w:noWrap/>
            <w:vAlign w:val="center"/>
            <w:hideMark/>
          </w:tcPr>
          <w:p w14:paraId="3F12A70A"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0,0 %</w:t>
            </w:r>
          </w:p>
        </w:tc>
        <w:tc>
          <w:tcPr>
            <w:tcW w:w="1617" w:type="dxa"/>
            <w:gridSpan w:val="3"/>
            <w:tcBorders>
              <w:top w:val="nil"/>
              <w:left w:val="nil"/>
              <w:bottom w:val="nil"/>
              <w:right w:val="nil"/>
            </w:tcBorders>
            <w:shd w:val="clear" w:color="000000" w:fill="FFFFFF"/>
            <w:noWrap/>
            <w:vAlign w:val="center"/>
            <w:hideMark/>
          </w:tcPr>
          <w:p w14:paraId="499F0226"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0,2 %</w:t>
            </w:r>
          </w:p>
        </w:tc>
        <w:tc>
          <w:tcPr>
            <w:tcW w:w="1804" w:type="dxa"/>
            <w:tcBorders>
              <w:top w:val="nil"/>
              <w:left w:val="nil"/>
              <w:bottom w:val="nil"/>
              <w:right w:val="nil"/>
            </w:tcBorders>
            <w:shd w:val="clear" w:color="000000" w:fill="FFFFFF"/>
            <w:noWrap/>
            <w:vAlign w:val="center"/>
            <w:hideMark/>
          </w:tcPr>
          <w:p w14:paraId="74224BA3"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1,0 %</w:t>
            </w:r>
          </w:p>
        </w:tc>
      </w:tr>
      <w:tr w:rsidR="00BA21C0" w:rsidRPr="00B33D62" w14:paraId="4008FF15" w14:textId="77777777" w:rsidTr="00B33D62">
        <w:trPr>
          <w:trHeight w:hRule="exact" w:val="373"/>
        </w:trPr>
        <w:tc>
          <w:tcPr>
            <w:tcW w:w="2793" w:type="dxa"/>
            <w:tcBorders>
              <w:top w:val="nil"/>
              <w:left w:val="nil"/>
              <w:bottom w:val="nil"/>
              <w:right w:val="nil"/>
            </w:tcBorders>
            <w:shd w:val="clear" w:color="000000" w:fill="FFFFFF"/>
            <w:noWrap/>
            <w:vAlign w:val="center"/>
            <w:hideMark/>
          </w:tcPr>
          <w:p w14:paraId="774423D3"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Muslim</w:t>
            </w:r>
          </w:p>
        </w:tc>
        <w:tc>
          <w:tcPr>
            <w:tcW w:w="1763" w:type="dxa"/>
            <w:tcBorders>
              <w:top w:val="nil"/>
              <w:left w:val="nil"/>
              <w:bottom w:val="nil"/>
              <w:right w:val="nil"/>
            </w:tcBorders>
            <w:shd w:val="clear" w:color="000000" w:fill="FFFFFF"/>
            <w:noWrap/>
            <w:vAlign w:val="center"/>
            <w:hideMark/>
          </w:tcPr>
          <w:p w14:paraId="0C1F4FCA"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15 359</w:t>
            </w:r>
          </w:p>
        </w:tc>
        <w:tc>
          <w:tcPr>
            <w:tcW w:w="1321" w:type="dxa"/>
            <w:tcBorders>
              <w:top w:val="nil"/>
              <w:left w:val="nil"/>
              <w:bottom w:val="nil"/>
              <w:right w:val="nil"/>
            </w:tcBorders>
            <w:shd w:val="clear" w:color="000000" w:fill="FFFFFF"/>
            <w:noWrap/>
            <w:vAlign w:val="center"/>
            <w:hideMark/>
          </w:tcPr>
          <w:p w14:paraId="2844AEDC"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0,3 %</w:t>
            </w:r>
          </w:p>
        </w:tc>
        <w:tc>
          <w:tcPr>
            <w:tcW w:w="1617" w:type="dxa"/>
            <w:gridSpan w:val="3"/>
            <w:tcBorders>
              <w:top w:val="nil"/>
              <w:left w:val="nil"/>
              <w:bottom w:val="nil"/>
              <w:right w:val="nil"/>
            </w:tcBorders>
            <w:shd w:val="clear" w:color="000000" w:fill="FFFFFF"/>
            <w:noWrap/>
            <w:vAlign w:val="center"/>
            <w:hideMark/>
          </w:tcPr>
          <w:p w14:paraId="6DF4E36B"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1,7 %</w:t>
            </w:r>
          </w:p>
        </w:tc>
        <w:tc>
          <w:tcPr>
            <w:tcW w:w="1804" w:type="dxa"/>
            <w:tcBorders>
              <w:top w:val="nil"/>
              <w:left w:val="nil"/>
              <w:bottom w:val="nil"/>
              <w:right w:val="nil"/>
            </w:tcBorders>
            <w:shd w:val="clear" w:color="000000" w:fill="FFFFFF"/>
            <w:noWrap/>
            <w:vAlign w:val="center"/>
            <w:hideMark/>
          </w:tcPr>
          <w:p w14:paraId="66C5743C"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0,2 %</w:t>
            </w:r>
          </w:p>
        </w:tc>
      </w:tr>
      <w:tr w:rsidR="00BA21C0" w:rsidRPr="00B33D62" w14:paraId="531E660D" w14:textId="77777777" w:rsidTr="00B33D62">
        <w:trPr>
          <w:trHeight w:hRule="exact" w:val="373"/>
        </w:trPr>
        <w:tc>
          <w:tcPr>
            <w:tcW w:w="2793" w:type="dxa"/>
            <w:tcBorders>
              <w:top w:val="nil"/>
              <w:left w:val="nil"/>
              <w:bottom w:val="nil"/>
              <w:right w:val="nil"/>
            </w:tcBorders>
            <w:shd w:val="clear" w:color="000000" w:fill="FFFFFF"/>
            <w:noWrap/>
            <w:vAlign w:val="center"/>
            <w:hideMark/>
          </w:tcPr>
          <w:p w14:paraId="342EA7F0" w14:textId="77777777" w:rsidR="00BA21C0" w:rsidRPr="00B33D62" w:rsidRDefault="00BA21C0" w:rsidP="00BA21C0">
            <w:pPr>
              <w:rPr>
                <w:rFonts w:eastAsia="Times New Roman"/>
                <w:color w:val="000000"/>
                <w:sz w:val="20"/>
                <w:lang w:eastAsia="fi-FI"/>
              </w:rPr>
            </w:pPr>
            <w:proofErr w:type="spellStart"/>
            <w:r w:rsidRPr="00B33D62">
              <w:rPr>
                <w:rFonts w:eastAsia="Times New Roman"/>
                <w:color w:val="000000"/>
                <w:sz w:val="20"/>
                <w:lang w:eastAsia="fi-FI"/>
              </w:rPr>
              <w:t>Buddist</w:t>
            </w:r>
            <w:proofErr w:type="spellEnd"/>
          </w:p>
        </w:tc>
        <w:tc>
          <w:tcPr>
            <w:tcW w:w="1763" w:type="dxa"/>
            <w:tcBorders>
              <w:top w:val="nil"/>
              <w:left w:val="nil"/>
              <w:bottom w:val="nil"/>
              <w:right w:val="nil"/>
            </w:tcBorders>
            <w:shd w:val="clear" w:color="000000" w:fill="FFFFFF"/>
            <w:noWrap/>
            <w:vAlign w:val="center"/>
            <w:hideMark/>
          </w:tcPr>
          <w:p w14:paraId="7CED7DD2"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1 814</w:t>
            </w:r>
          </w:p>
        </w:tc>
        <w:tc>
          <w:tcPr>
            <w:tcW w:w="1321" w:type="dxa"/>
            <w:tcBorders>
              <w:top w:val="nil"/>
              <w:left w:val="nil"/>
              <w:bottom w:val="nil"/>
              <w:right w:val="nil"/>
            </w:tcBorders>
            <w:shd w:val="clear" w:color="000000" w:fill="FFFFFF"/>
            <w:noWrap/>
            <w:vAlign w:val="center"/>
            <w:hideMark/>
          </w:tcPr>
          <w:p w14:paraId="3E00E71D"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0,0 %</w:t>
            </w:r>
          </w:p>
        </w:tc>
        <w:tc>
          <w:tcPr>
            <w:tcW w:w="1617" w:type="dxa"/>
            <w:gridSpan w:val="3"/>
            <w:tcBorders>
              <w:top w:val="nil"/>
              <w:left w:val="nil"/>
              <w:bottom w:val="nil"/>
              <w:right w:val="nil"/>
            </w:tcBorders>
            <w:shd w:val="clear" w:color="000000" w:fill="FFFFFF"/>
            <w:noWrap/>
            <w:vAlign w:val="center"/>
            <w:hideMark/>
          </w:tcPr>
          <w:p w14:paraId="43AF06E5"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 </w:t>
            </w:r>
          </w:p>
        </w:tc>
        <w:tc>
          <w:tcPr>
            <w:tcW w:w="1804" w:type="dxa"/>
            <w:tcBorders>
              <w:top w:val="nil"/>
              <w:left w:val="nil"/>
              <w:bottom w:val="nil"/>
              <w:right w:val="nil"/>
            </w:tcBorders>
            <w:shd w:val="clear" w:color="000000" w:fill="FFFFFF"/>
            <w:noWrap/>
            <w:vAlign w:val="center"/>
            <w:hideMark/>
          </w:tcPr>
          <w:p w14:paraId="2CA86459"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 </w:t>
            </w:r>
          </w:p>
        </w:tc>
      </w:tr>
      <w:tr w:rsidR="00BA21C0" w:rsidRPr="00B33D62" w14:paraId="6604C63B" w14:textId="77777777" w:rsidTr="00B33D62">
        <w:trPr>
          <w:trHeight w:hRule="exact" w:val="373"/>
        </w:trPr>
        <w:tc>
          <w:tcPr>
            <w:tcW w:w="2793" w:type="dxa"/>
            <w:tcBorders>
              <w:top w:val="nil"/>
              <w:left w:val="nil"/>
              <w:bottom w:val="nil"/>
              <w:right w:val="nil"/>
            </w:tcBorders>
            <w:shd w:val="clear" w:color="000000" w:fill="FFFFFF"/>
            <w:noWrap/>
            <w:vAlign w:val="center"/>
            <w:hideMark/>
          </w:tcPr>
          <w:p w14:paraId="503DD1A5"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Hindu</w:t>
            </w:r>
          </w:p>
        </w:tc>
        <w:tc>
          <w:tcPr>
            <w:tcW w:w="1763" w:type="dxa"/>
            <w:tcBorders>
              <w:top w:val="nil"/>
              <w:left w:val="nil"/>
              <w:bottom w:val="nil"/>
              <w:right w:val="nil"/>
            </w:tcBorders>
            <w:shd w:val="clear" w:color="000000" w:fill="FFFFFF"/>
            <w:noWrap/>
            <w:vAlign w:val="center"/>
            <w:hideMark/>
          </w:tcPr>
          <w:p w14:paraId="6EA0875F"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353</w:t>
            </w:r>
          </w:p>
        </w:tc>
        <w:tc>
          <w:tcPr>
            <w:tcW w:w="1321" w:type="dxa"/>
            <w:tcBorders>
              <w:top w:val="nil"/>
              <w:left w:val="nil"/>
              <w:bottom w:val="nil"/>
              <w:right w:val="nil"/>
            </w:tcBorders>
            <w:shd w:val="clear" w:color="000000" w:fill="FFFFFF"/>
            <w:noWrap/>
            <w:vAlign w:val="center"/>
            <w:hideMark/>
          </w:tcPr>
          <w:p w14:paraId="1F763EF3"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0,0 %</w:t>
            </w:r>
          </w:p>
        </w:tc>
        <w:tc>
          <w:tcPr>
            <w:tcW w:w="1617" w:type="dxa"/>
            <w:gridSpan w:val="3"/>
            <w:tcBorders>
              <w:top w:val="nil"/>
              <w:left w:val="nil"/>
              <w:bottom w:val="nil"/>
              <w:right w:val="nil"/>
            </w:tcBorders>
            <w:shd w:val="clear" w:color="000000" w:fill="FFFFFF"/>
            <w:noWrap/>
            <w:vAlign w:val="center"/>
            <w:hideMark/>
          </w:tcPr>
          <w:p w14:paraId="1659B870"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 </w:t>
            </w:r>
          </w:p>
        </w:tc>
        <w:tc>
          <w:tcPr>
            <w:tcW w:w="1804" w:type="dxa"/>
            <w:tcBorders>
              <w:top w:val="nil"/>
              <w:left w:val="nil"/>
              <w:bottom w:val="nil"/>
              <w:right w:val="nil"/>
            </w:tcBorders>
            <w:shd w:val="clear" w:color="000000" w:fill="FFFFFF"/>
            <w:noWrap/>
            <w:vAlign w:val="center"/>
            <w:hideMark/>
          </w:tcPr>
          <w:p w14:paraId="0B055118"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 </w:t>
            </w:r>
          </w:p>
        </w:tc>
      </w:tr>
      <w:tr w:rsidR="00BA21C0" w:rsidRPr="00B33D62" w14:paraId="2FD65901" w14:textId="77777777" w:rsidTr="00B33D62">
        <w:trPr>
          <w:trHeight w:hRule="exact" w:val="373"/>
        </w:trPr>
        <w:tc>
          <w:tcPr>
            <w:tcW w:w="2793" w:type="dxa"/>
            <w:tcBorders>
              <w:top w:val="nil"/>
              <w:left w:val="nil"/>
              <w:bottom w:val="nil"/>
              <w:right w:val="nil"/>
            </w:tcBorders>
            <w:shd w:val="clear" w:color="000000" w:fill="FFFFFF"/>
            <w:noWrap/>
            <w:vAlign w:val="center"/>
            <w:hideMark/>
          </w:tcPr>
          <w:p w14:paraId="6035AE55"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Other religion</w:t>
            </w:r>
          </w:p>
        </w:tc>
        <w:tc>
          <w:tcPr>
            <w:tcW w:w="1763" w:type="dxa"/>
            <w:tcBorders>
              <w:top w:val="nil"/>
              <w:left w:val="nil"/>
              <w:bottom w:val="nil"/>
              <w:right w:val="nil"/>
            </w:tcBorders>
            <w:shd w:val="clear" w:color="000000" w:fill="FFFFFF"/>
            <w:noWrap/>
            <w:vAlign w:val="center"/>
            <w:hideMark/>
          </w:tcPr>
          <w:p w14:paraId="066DD81C"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889</w:t>
            </w:r>
          </w:p>
        </w:tc>
        <w:tc>
          <w:tcPr>
            <w:tcW w:w="1321" w:type="dxa"/>
            <w:tcBorders>
              <w:top w:val="nil"/>
              <w:left w:val="nil"/>
              <w:bottom w:val="nil"/>
              <w:right w:val="nil"/>
            </w:tcBorders>
            <w:shd w:val="clear" w:color="000000" w:fill="FFFFFF"/>
            <w:noWrap/>
            <w:vAlign w:val="center"/>
            <w:hideMark/>
          </w:tcPr>
          <w:p w14:paraId="3F086CDC"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0,0 %</w:t>
            </w:r>
          </w:p>
        </w:tc>
        <w:tc>
          <w:tcPr>
            <w:tcW w:w="1617" w:type="dxa"/>
            <w:gridSpan w:val="3"/>
            <w:tcBorders>
              <w:top w:val="nil"/>
              <w:left w:val="nil"/>
              <w:bottom w:val="nil"/>
              <w:right w:val="nil"/>
            </w:tcBorders>
            <w:shd w:val="clear" w:color="000000" w:fill="FFFFFF"/>
            <w:noWrap/>
            <w:vAlign w:val="center"/>
            <w:hideMark/>
          </w:tcPr>
          <w:p w14:paraId="414500B9"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0,7 %</w:t>
            </w:r>
          </w:p>
        </w:tc>
        <w:tc>
          <w:tcPr>
            <w:tcW w:w="1804" w:type="dxa"/>
            <w:tcBorders>
              <w:top w:val="nil"/>
              <w:left w:val="nil"/>
              <w:bottom w:val="nil"/>
              <w:right w:val="nil"/>
            </w:tcBorders>
            <w:shd w:val="clear" w:color="000000" w:fill="FFFFFF"/>
            <w:noWrap/>
            <w:vAlign w:val="center"/>
            <w:hideMark/>
          </w:tcPr>
          <w:p w14:paraId="0F399A05"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0,3 %</w:t>
            </w:r>
          </w:p>
        </w:tc>
      </w:tr>
      <w:tr w:rsidR="00BA21C0" w:rsidRPr="00B33D62" w14:paraId="14BBC33E" w14:textId="77777777" w:rsidTr="00B33D62">
        <w:trPr>
          <w:trHeight w:hRule="exact" w:val="373"/>
        </w:trPr>
        <w:tc>
          <w:tcPr>
            <w:tcW w:w="2793" w:type="dxa"/>
            <w:tcBorders>
              <w:top w:val="nil"/>
              <w:left w:val="nil"/>
              <w:bottom w:val="nil"/>
              <w:right w:val="nil"/>
            </w:tcBorders>
            <w:shd w:val="clear" w:color="000000" w:fill="FFFFFF"/>
            <w:noWrap/>
            <w:vAlign w:val="center"/>
            <w:hideMark/>
          </w:tcPr>
          <w:p w14:paraId="4D215520" w14:textId="77777777" w:rsidR="00BA21C0" w:rsidRPr="00B33D62" w:rsidRDefault="00BA21C0" w:rsidP="00BA21C0">
            <w:pPr>
              <w:rPr>
                <w:rFonts w:eastAsia="Times New Roman"/>
                <w:b/>
                <w:bCs/>
                <w:color w:val="000000"/>
                <w:sz w:val="20"/>
                <w:lang w:eastAsia="fi-FI"/>
              </w:rPr>
            </w:pPr>
            <w:r w:rsidRPr="00B33D62">
              <w:rPr>
                <w:rFonts w:eastAsia="Times New Roman"/>
                <w:b/>
                <w:bCs/>
                <w:color w:val="000000"/>
                <w:sz w:val="20"/>
                <w:lang w:eastAsia="fi-FI"/>
              </w:rPr>
              <w:t>None</w:t>
            </w:r>
          </w:p>
        </w:tc>
        <w:tc>
          <w:tcPr>
            <w:tcW w:w="1763" w:type="dxa"/>
            <w:tcBorders>
              <w:top w:val="nil"/>
              <w:left w:val="nil"/>
              <w:bottom w:val="nil"/>
              <w:right w:val="nil"/>
            </w:tcBorders>
            <w:shd w:val="clear" w:color="000000" w:fill="FFFFFF"/>
            <w:noWrap/>
            <w:vAlign w:val="center"/>
            <w:hideMark/>
          </w:tcPr>
          <w:p w14:paraId="12CB9DB2" w14:textId="77777777" w:rsidR="00BA21C0" w:rsidRPr="00B33D62" w:rsidRDefault="00BA21C0" w:rsidP="00BA21C0">
            <w:pPr>
              <w:rPr>
                <w:rFonts w:eastAsia="Times New Roman"/>
                <w:b/>
                <w:bCs/>
                <w:color w:val="000000"/>
                <w:sz w:val="20"/>
                <w:lang w:eastAsia="fi-FI"/>
              </w:rPr>
            </w:pPr>
            <w:r w:rsidRPr="00B33D62">
              <w:rPr>
                <w:rFonts w:eastAsia="Times New Roman"/>
                <w:b/>
                <w:bCs/>
                <w:color w:val="000000"/>
                <w:sz w:val="20"/>
                <w:lang w:eastAsia="fi-FI"/>
              </w:rPr>
              <w:t>1 450 738</w:t>
            </w:r>
          </w:p>
        </w:tc>
        <w:tc>
          <w:tcPr>
            <w:tcW w:w="1321" w:type="dxa"/>
            <w:tcBorders>
              <w:top w:val="nil"/>
              <w:left w:val="nil"/>
              <w:bottom w:val="nil"/>
              <w:right w:val="nil"/>
            </w:tcBorders>
            <w:shd w:val="clear" w:color="000000" w:fill="FFFFFF"/>
            <w:noWrap/>
            <w:vAlign w:val="center"/>
            <w:hideMark/>
          </w:tcPr>
          <w:p w14:paraId="286D6CD0" w14:textId="77777777" w:rsidR="00BA21C0" w:rsidRPr="00B33D62" w:rsidRDefault="00BA21C0" w:rsidP="00BA21C0">
            <w:pPr>
              <w:rPr>
                <w:rFonts w:eastAsia="Times New Roman"/>
                <w:b/>
                <w:bCs/>
                <w:color w:val="000000"/>
                <w:sz w:val="20"/>
                <w:lang w:eastAsia="fi-FI"/>
              </w:rPr>
            </w:pPr>
            <w:r w:rsidRPr="00B33D62">
              <w:rPr>
                <w:rFonts w:eastAsia="Times New Roman"/>
                <w:b/>
                <w:bCs/>
                <w:color w:val="000000"/>
                <w:sz w:val="20"/>
                <w:lang w:eastAsia="fi-FI"/>
              </w:rPr>
              <w:t>26,3 %</w:t>
            </w:r>
          </w:p>
        </w:tc>
        <w:tc>
          <w:tcPr>
            <w:tcW w:w="1617" w:type="dxa"/>
            <w:gridSpan w:val="3"/>
            <w:tcBorders>
              <w:top w:val="nil"/>
              <w:left w:val="nil"/>
              <w:bottom w:val="nil"/>
              <w:right w:val="nil"/>
            </w:tcBorders>
            <w:shd w:val="clear" w:color="000000" w:fill="FFFFFF"/>
            <w:noWrap/>
            <w:vAlign w:val="center"/>
            <w:hideMark/>
          </w:tcPr>
          <w:p w14:paraId="08F4356B" w14:textId="77777777" w:rsidR="00BA21C0" w:rsidRPr="00B33D62" w:rsidRDefault="00BA21C0" w:rsidP="00BA21C0">
            <w:pPr>
              <w:rPr>
                <w:rFonts w:eastAsia="Times New Roman"/>
                <w:b/>
                <w:bCs/>
                <w:color w:val="000000"/>
                <w:sz w:val="20"/>
                <w:lang w:eastAsia="fi-FI"/>
              </w:rPr>
            </w:pPr>
            <w:r w:rsidRPr="00B33D62">
              <w:rPr>
                <w:rFonts w:eastAsia="Times New Roman"/>
                <w:b/>
                <w:bCs/>
                <w:color w:val="000000"/>
                <w:sz w:val="20"/>
                <w:lang w:eastAsia="fi-FI"/>
              </w:rPr>
              <w:t>29,8 %</w:t>
            </w:r>
          </w:p>
        </w:tc>
        <w:tc>
          <w:tcPr>
            <w:tcW w:w="1804" w:type="dxa"/>
            <w:tcBorders>
              <w:top w:val="nil"/>
              <w:left w:val="nil"/>
              <w:bottom w:val="nil"/>
              <w:right w:val="nil"/>
            </w:tcBorders>
            <w:shd w:val="clear" w:color="000000" w:fill="FFFFFF"/>
            <w:noWrap/>
            <w:vAlign w:val="center"/>
            <w:hideMark/>
          </w:tcPr>
          <w:p w14:paraId="1BB1F2C9" w14:textId="77777777" w:rsidR="00BA21C0" w:rsidRPr="00B33D62" w:rsidRDefault="00BA21C0" w:rsidP="00BA21C0">
            <w:pPr>
              <w:rPr>
                <w:rFonts w:eastAsia="Times New Roman"/>
                <w:b/>
                <w:bCs/>
                <w:color w:val="000000"/>
                <w:sz w:val="20"/>
                <w:lang w:eastAsia="fi-FI"/>
              </w:rPr>
            </w:pPr>
            <w:r w:rsidRPr="00B33D62">
              <w:rPr>
                <w:rFonts w:eastAsia="Times New Roman"/>
                <w:b/>
                <w:bCs/>
                <w:color w:val="000000"/>
                <w:sz w:val="20"/>
                <w:lang w:eastAsia="fi-FI"/>
              </w:rPr>
              <w:t>33,8 %</w:t>
            </w:r>
          </w:p>
        </w:tc>
      </w:tr>
      <w:tr w:rsidR="00BA21C0" w:rsidRPr="00B33D62" w14:paraId="61072AFB" w14:textId="77777777" w:rsidTr="00B33D62">
        <w:trPr>
          <w:trHeight w:hRule="exact" w:val="373"/>
        </w:trPr>
        <w:tc>
          <w:tcPr>
            <w:tcW w:w="2793" w:type="dxa"/>
            <w:tcBorders>
              <w:top w:val="nil"/>
              <w:left w:val="nil"/>
              <w:bottom w:val="nil"/>
              <w:right w:val="nil"/>
            </w:tcBorders>
            <w:shd w:val="clear" w:color="000000" w:fill="FFFFFF"/>
            <w:noWrap/>
            <w:vAlign w:val="bottom"/>
            <w:hideMark/>
          </w:tcPr>
          <w:p w14:paraId="023DDA2C"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Total</w:t>
            </w:r>
          </w:p>
        </w:tc>
        <w:tc>
          <w:tcPr>
            <w:tcW w:w="1763" w:type="dxa"/>
            <w:tcBorders>
              <w:top w:val="nil"/>
              <w:left w:val="nil"/>
              <w:bottom w:val="nil"/>
              <w:right w:val="nil"/>
            </w:tcBorders>
            <w:shd w:val="clear" w:color="000000" w:fill="FFFFFF"/>
            <w:noWrap/>
            <w:vAlign w:val="bottom"/>
            <w:hideMark/>
          </w:tcPr>
          <w:p w14:paraId="19E789C0"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5 513 130</w:t>
            </w:r>
          </w:p>
        </w:tc>
        <w:tc>
          <w:tcPr>
            <w:tcW w:w="1321" w:type="dxa"/>
            <w:tcBorders>
              <w:top w:val="nil"/>
              <w:left w:val="nil"/>
              <w:bottom w:val="nil"/>
              <w:right w:val="nil"/>
            </w:tcBorders>
            <w:shd w:val="clear" w:color="000000" w:fill="FFFFFF"/>
            <w:noWrap/>
            <w:vAlign w:val="bottom"/>
            <w:hideMark/>
          </w:tcPr>
          <w:p w14:paraId="629C5455"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100</w:t>
            </w:r>
          </w:p>
        </w:tc>
        <w:tc>
          <w:tcPr>
            <w:tcW w:w="1617" w:type="dxa"/>
            <w:gridSpan w:val="3"/>
            <w:tcBorders>
              <w:top w:val="nil"/>
              <w:left w:val="nil"/>
              <w:bottom w:val="nil"/>
              <w:right w:val="nil"/>
            </w:tcBorders>
            <w:shd w:val="clear" w:color="000000" w:fill="FFFFFF"/>
            <w:noWrap/>
            <w:vAlign w:val="bottom"/>
            <w:hideMark/>
          </w:tcPr>
          <w:p w14:paraId="225C1999"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100</w:t>
            </w:r>
          </w:p>
        </w:tc>
        <w:tc>
          <w:tcPr>
            <w:tcW w:w="1804" w:type="dxa"/>
            <w:tcBorders>
              <w:top w:val="nil"/>
              <w:left w:val="nil"/>
              <w:bottom w:val="nil"/>
              <w:right w:val="nil"/>
            </w:tcBorders>
            <w:shd w:val="clear" w:color="000000" w:fill="FFFFFF"/>
            <w:noWrap/>
            <w:vAlign w:val="bottom"/>
            <w:hideMark/>
          </w:tcPr>
          <w:p w14:paraId="424EB875" w14:textId="77777777" w:rsidR="00BA21C0" w:rsidRPr="00B33D62" w:rsidRDefault="00BA21C0" w:rsidP="00BA21C0">
            <w:pPr>
              <w:rPr>
                <w:rFonts w:eastAsia="Times New Roman"/>
                <w:color w:val="000000"/>
                <w:sz w:val="20"/>
                <w:lang w:eastAsia="fi-FI"/>
              </w:rPr>
            </w:pPr>
            <w:r w:rsidRPr="00B33D62">
              <w:rPr>
                <w:rFonts w:eastAsia="Times New Roman"/>
                <w:color w:val="000000"/>
                <w:sz w:val="20"/>
                <w:lang w:eastAsia="fi-FI"/>
              </w:rPr>
              <w:t>100</w:t>
            </w:r>
          </w:p>
        </w:tc>
      </w:tr>
      <w:tr w:rsidR="00BA21C0" w:rsidRPr="00B33D62" w14:paraId="650F1AEA" w14:textId="77777777" w:rsidTr="00B33D62">
        <w:trPr>
          <w:trHeight w:hRule="exact" w:val="373"/>
        </w:trPr>
        <w:tc>
          <w:tcPr>
            <w:tcW w:w="2793" w:type="dxa"/>
            <w:tcBorders>
              <w:top w:val="single" w:sz="4" w:space="0" w:color="auto"/>
              <w:left w:val="nil"/>
              <w:bottom w:val="single" w:sz="4" w:space="0" w:color="auto"/>
              <w:right w:val="nil"/>
            </w:tcBorders>
            <w:shd w:val="clear" w:color="000000" w:fill="FFFFFF"/>
            <w:noWrap/>
            <w:vAlign w:val="center"/>
            <w:hideMark/>
          </w:tcPr>
          <w:p w14:paraId="6B08CE26" w14:textId="77777777" w:rsidR="00BA21C0" w:rsidRPr="00B33D62" w:rsidRDefault="00BA21C0" w:rsidP="00BA21C0">
            <w:pPr>
              <w:rPr>
                <w:rFonts w:eastAsia="Times New Roman"/>
                <w:b/>
                <w:bCs/>
                <w:color w:val="000000"/>
                <w:sz w:val="20"/>
                <w:lang w:eastAsia="fi-FI"/>
              </w:rPr>
            </w:pPr>
            <w:r w:rsidRPr="00B33D62">
              <w:rPr>
                <w:rFonts w:eastAsia="Times New Roman"/>
                <w:b/>
                <w:bCs/>
                <w:color w:val="000000"/>
                <w:sz w:val="20"/>
                <w:lang w:eastAsia="fi-FI"/>
              </w:rPr>
              <w:t>Index of dissimilarity</w:t>
            </w:r>
          </w:p>
        </w:tc>
        <w:tc>
          <w:tcPr>
            <w:tcW w:w="3572" w:type="dxa"/>
            <w:gridSpan w:val="3"/>
            <w:tcBorders>
              <w:top w:val="single" w:sz="4" w:space="0" w:color="auto"/>
              <w:left w:val="nil"/>
              <w:bottom w:val="single" w:sz="4" w:space="0" w:color="auto"/>
              <w:right w:val="nil"/>
            </w:tcBorders>
            <w:shd w:val="clear" w:color="000000" w:fill="FFFFFF"/>
            <w:noWrap/>
            <w:vAlign w:val="center"/>
            <w:hideMark/>
          </w:tcPr>
          <w:p w14:paraId="4BD98862" w14:textId="77777777" w:rsidR="00BA21C0" w:rsidRPr="00B33D62" w:rsidRDefault="00BA21C0" w:rsidP="00BA21C0">
            <w:pPr>
              <w:rPr>
                <w:rFonts w:eastAsia="Times New Roman"/>
                <w:b/>
                <w:bCs/>
                <w:color w:val="000000"/>
                <w:sz w:val="20"/>
                <w:lang w:eastAsia="fi-FI"/>
              </w:rPr>
            </w:pPr>
          </w:p>
        </w:tc>
        <w:tc>
          <w:tcPr>
            <w:tcW w:w="165" w:type="dxa"/>
            <w:tcBorders>
              <w:top w:val="single" w:sz="4" w:space="0" w:color="auto"/>
              <w:left w:val="nil"/>
              <w:bottom w:val="single" w:sz="4" w:space="0" w:color="auto"/>
              <w:right w:val="nil"/>
            </w:tcBorders>
            <w:shd w:val="clear" w:color="000000" w:fill="FFFFFF"/>
            <w:noWrap/>
            <w:vAlign w:val="center"/>
            <w:hideMark/>
          </w:tcPr>
          <w:p w14:paraId="7351E5C0" w14:textId="77777777" w:rsidR="00BA21C0" w:rsidRPr="00B33D62" w:rsidRDefault="00BA21C0" w:rsidP="00BA21C0">
            <w:pPr>
              <w:rPr>
                <w:rFonts w:eastAsia="Times New Roman"/>
                <w:b/>
                <w:bCs/>
                <w:color w:val="000000"/>
                <w:sz w:val="20"/>
                <w:lang w:eastAsia="fi-FI"/>
              </w:rPr>
            </w:pPr>
          </w:p>
        </w:tc>
        <w:tc>
          <w:tcPr>
            <w:tcW w:w="964" w:type="dxa"/>
            <w:tcBorders>
              <w:top w:val="single" w:sz="4" w:space="0" w:color="auto"/>
              <w:left w:val="nil"/>
              <w:bottom w:val="single" w:sz="4" w:space="0" w:color="auto"/>
              <w:right w:val="nil"/>
            </w:tcBorders>
            <w:shd w:val="clear" w:color="000000" w:fill="FFFFFF"/>
            <w:noWrap/>
            <w:vAlign w:val="center"/>
            <w:hideMark/>
          </w:tcPr>
          <w:p w14:paraId="27E7E1E6" w14:textId="77777777" w:rsidR="00BA21C0" w:rsidRPr="00B33D62" w:rsidRDefault="00BA21C0" w:rsidP="00BA21C0">
            <w:pPr>
              <w:rPr>
                <w:rFonts w:eastAsia="Times New Roman"/>
                <w:b/>
                <w:bCs/>
                <w:color w:val="000000"/>
                <w:sz w:val="20"/>
                <w:lang w:eastAsia="fi-FI"/>
              </w:rPr>
            </w:pPr>
            <w:r w:rsidRPr="00B33D62">
              <w:rPr>
                <w:rFonts w:eastAsia="Times New Roman"/>
                <w:b/>
                <w:bCs/>
                <w:color w:val="000000"/>
                <w:sz w:val="20"/>
                <w:lang w:eastAsia="fi-FI"/>
              </w:rPr>
              <w:t>8,2</w:t>
            </w:r>
          </w:p>
        </w:tc>
        <w:tc>
          <w:tcPr>
            <w:tcW w:w="1804" w:type="dxa"/>
            <w:tcBorders>
              <w:top w:val="single" w:sz="4" w:space="0" w:color="auto"/>
              <w:left w:val="nil"/>
              <w:bottom w:val="single" w:sz="4" w:space="0" w:color="auto"/>
              <w:right w:val="nil"/>
            </w:tcBorders>
            <w:shd w:val="clear" w:color="000000" w:fill="FFFFFF"/>
            <w:noWrap/>
            <w:vAlign w:val="center"/>
            <w:hideMark/>
          </w:tcPr>
          <w:p w14:paraId="05D204CF" w14:textId="77777777" w:rsidR="00BA21C0" w:rsidRPr="00B33D62" w:rsidRDefault="00BA21C0" w:rsidP="00BA21C0">
            <w:pPr>
              <w:rPr>
                <w:rFonts w:eastAsia="Times New Roman"/>
                <w:b/>
                <w:bCs/>
                <w:color w:val="000000"/>
                <w:sz w:val="20"/>
                <w:lang w:eastAsia="fi-FI"/>
              </w:rPr>
            </w:pPr>
            <w:r w:rsidRPr="00B33D62">
              <w:rPr>
                <w:rFonts w:eastAsia="Times New Roman"/>
                <w:b/>
                <w:bCs/>
                <w:color w:val="000000"/>
                <w:sz w:val="20"/>
                <w:lang w:eastAsia="fi-FI"/>
              </w:rPr>
              <w:t>12,9</w:t>
            </w:r>
          </w:p>
        </w:tc>
      </w:tr>
    </w:tbl>
    <w:p w14:paraId="0F88792C" w14:textId="77777777" w:rsidR="00BA21C0" w:rsidRPr="009D376C" w:rsidRDefault="00BA21C0" w:rsidP="00BA21C0">
      <w:pPr>
        <w:rPr>
          <w:rFonts w:asciiTheme="majorHAnsi" w:hAnsiTheme="majorHAnsi" w:cstheme="majorHAnsi"/>
          <w:sz w:val="20"/>
          <w:szCs w:val="20"/>
          <w:lang w:val="en-US"/>
        </w:rPr>
      </w:pPr>
    </w:p>
    <w:p w14:paraId="019D519F" w14:textId="77777777" w:rsidR="00B33D62" w:rsidRPr="009D376C" w:rsidRDefault="00B33D62" w:rsidP="0058233D">
      <w:pPr>
        <w:pStyle w:val="Otsikko2"/>
        <w:rPr>
          <w:lang w:val="en-US"/>
        </w:rPr>
      </w:pPr>
      <w:r w:rsidRPr="009D376C">
        <w:rPr>
          <w:lang w:val="en-US"/>
        </w:rPr>
        <w:t>Discussion</w:t>
      </w:r>
    </w:p>
    <w:p w14:paraId="5446C897" w14:textId="77777777" w:rsidR="0059712F" w:rsidRDefault="007C24C3" w:rsidP="00B33D62">
      <w:pPr>
        <w:rPr>
          <w:lang w:val="en-US"/>
        </w:rPr>
      </w:pPr>
      <w:r>
        <w:rPr>
          <w:lang w:val="en-US"/>
        </w:rPr>
        <w:t xml:space="preserve">All in </w:t>
      </w:r>
      <w:proofErr w:type="gramStart"/>
      <w:r>
        <w:rPr>
          <w:lang w:val="en-US"/>
        </w:rPr>
        <w:t>all</w:t>
      </w:r>
      <w:proofErr w:type="gramEnd"/>
      <w:r>
        <w:rPr>
          <w:lang w:val="en-US"/>
        </w:rPr>
        <w:t xml:space="preserve"> the results of the experiment can be seen as successful even though some of the results concerning data quality using both internal and external criteria yielded somewhat ambiguous results. The incentive was successful in terms of its primary intended effect of increasing response rate. Secondary objective of increasing the representativeness of the sample was met only somewhat with mixed results. Although we found some tentative evidence that the chocolate motivation was able to convert some people usually underrepresented in surveys as respondents among the less educated, this effect was somewhat offset by the relative increase in bias in terms of sample age distribution. </w:t>
      </w:r>
    </w:p>
    <w:p w14:paraId="5C431268" w14:textId="77777777" w:rsidR="0059712F" w:rsidRDefault="007C24C3" w:rsidP="00B33D62">
      <w:pPr>
        <w:rPr>
          <w:lang w:val="en-US"/>
        </w:rPr>
      </w:pPr>
      <w:r>
        <w:rPr>
          <w:lang w:val="en-US"/>
        </w:rPr>
        <w:t>Comparing the estimated distributions of electoral participation as well as religious denominations represented in the sample we also found mixed results: The incentive sub sample was able to reduce the bias related to political efficacy by attracting non-voters</w:t>
      </w:r>
      <w:r w:rsidR="0059712F">
        <w:rPr>
          <w:lang w:val="en-US"/>
        </w:rPr>
        <w:t xml:space="preserve"> to the respondent pool. This we argue is a very important finding since there is reason to believe, that the underlying mechanisms of survey and electoral participation may be strongly associated, though beyond the scope of this paper.</w:t>
      </w:r>
      <w:r w:rsidR="00B33D62" w:rsidRPr="009D376C">
        <w:rPr>
          <w:lang w:val="en-US"/>
        </w:rPr>
        <w:t xml:space="preserve"> </w:t>
      </w:r>
      <w:r w:rsidR="0059712F">
        <w:rPr>
          <w:lang w:val="en-US"/>
        </w:rPr>
        <w:t xml:space="preserve">Though small in </w:t>
      </w:r>
      <w:r w:rsidR="0059712F">
        <w:rPr>
          <w:lang w:val="en-US"/>
        </w:rPr>
        <w:lastRenderedPageBreak/>
        <w:t xml:space="preserve">terms of statistical inference, we also remain puzzled by the observed increase in response bias related to religious community membership, though this could be explained by bias related to self-reporting. </w:t>
      </w:r>
    </w:p>
    <w:p w14:paraId="0AFBD572" w14:textId="77777777" w:rsidR="00294E47" w:rsidRPr="00C352B3" w:rsidRDefault="0059712F" w:rsidP="00294E47">
      <w:pPr>
        <w:rPr>
          <w:lang w:val="en-US"/>
        </w:rPr>
      </w:pPr>
      <w:r>
        <w:rPr>
          <w:lang w:val="en-US"/>
        </w:rPr>
        <w:t xml:space="preserve">All in all, the relatively small increase in survey effort seemed to yield </w:t>
      </w:r>
      <w:proofErr w:type="gramStart"/>
      <w:r>
        <w:rPr>
          <w:lang w:val="en-US"/>
        </w:rPr>
        <w:t>a number of</w:t>
      </w:r>
      <w:proofErr w:type="gramEnd"/>
      <w:r>
        <w:rPr>
          <w:lang w:val="en-US"/>
        </w:rPr>
        <w:t xml:space="preserve"> interesting effects on data quality, which Statistics Finland will investigate further in the future. </w:t>
      </w:r>
      <w:r w:rsidR="00294E47" w:rsidRPr="009D376C">
        <w:rPr>
          <w:lang w:val="en-US"/>
        </w:rPr>
        <w:t>Statistics Finland is hoping that respondents could be motivated by different statistical information- and web-based incentives</w:t>
      </w:r>
      <w:r w:rsidR="00294E47">
        <w:rPr>
          <w:lang w:val="en-US"/>
        </w:rPr>
        <w:t xml:space="preserve"> which will be conducted along with future relevant surveys</w:t>
      </w:r>
      <w:r w:rsidR="00294E47" w:rsidRPr="009D376C">
        <w:rPr>
          <w:lang w:val="en-US"/>
        </w:rPr>
        <w:t xml:space="preserve">. </w:t>
      </w:r>
      <w:r w:rsidR="00294E47" w:rsidRPr="00430A27">
        <w:rPr>
          <w:lang w:val="en-US"/>
        </w:rPr>
        <w:t>Statistics Finland will conduct one or more follow-up experiments later in 2019</w:t>
      </w:r>
      <w:r w:rsidR="00294E47">
        <w:rPr>
          <w:lang w:val="en-US"/>
        </w:rPr>
        <w:t>–2020</w:t>
      </w:r>
      <w:r w:rsidR="00294E47" w:rsidRPr="00430A27">
        <w:rPr>
          <w:lang w:val="en-US"/>
        </w:rPr>
        <w:t xml:space="preserve">.  </w:t>
      </w:r>
    </w:p>
    <w:p w14:paraId="3DEA007C" w14:textId="7141F909" w:rsidR="00B33D62" w:rsidRDefault="00B33D62" w:rsidP="00294E47">
      <w:pPr>
        <w:rPr>
          <w:rFonts w:eastAsiaTheme="majorEastAsia" w:cstheme="majorBidi"/>
          <w:b/>
          <w:szCs w:val="26"/>
          <w:highlight w:val="lightGray"/>
          <w:lang w:val="fr-FR"/>
        </w:rPr>
      </w:pPr>
      <w:bookmarkStart w:id="1" w:name="_GoBack"/>
      <w:bookmarkEnd w:id="1"/>
      <w:r>
        <w:rPr>
          <w:highlight w:val="lightGray"/>
          <w:lang w:val="fr-FR"/>
        </w:rPr>
        <w:br w:type="page"/>
      </w:r>
    </w:p>
    <w:p w14:paraId="552177D7" w14:textId="77777777" w:rsidR="00B33D62" w:rsidRPr="009D376C" w:rsidRDefault="00B33D62" w:rsidP="00B33D62">
      <w:pPr>
        <w:pStyle w:val="Otsikko2"/>
        <w:rPr>
          <w:lang w:val="fr-FR"/>
        </w:rPr>
      </w:pPr>
      <w:proofErr w:type="spellStart"/>
      <w:r w:rsidRPr="009D376C">
        <w:rPr>
          <w:lang w:val="fr-FR"/>
        </w:rPr>
        <w:lastRenderedPageBreak/>
        <w:t>References</w:t>
      </w:r>
      <w:proofErr w:type="spellEnd"/>
    </w:p>
    <w:p w14:paraId="7FFF4CB7" w14:textId="77777777" w:rsidR="00B33D62" w:rsidRPr="009D376C" w:rsidRDefault="00B33D62" w:rsidP="00B33D62">
      <w:pPr>
        <w:rPr>
          <w:lang w:val="fr-FR"/>
        </w:rPr>
      </w:pPr>
      <w:proofErr w:type="spellStart"/>
      <w:r w:rsidRPr="00C0372D">
        <w:rPr>
          <w:shd w:val="clear" w:color="auto" w:fill="FFFFFF"/>
          <w:lang w:val="sv-SE"/>
        </w:rPr>
        <w:t>Belli</w:t>
      </w:r>
      <w:proofErr w:type="spellEnd"/>
      <w:r w:rsidRPr="00C0372D">
        <w:rPr>
          <w:shd w:val="clear" w:color="auto" w:fill="FFFFFF"/>
          <w:lang w:val="sv-SE"/>
        </w:rPr>
        <w:t xml:space="preserve">, R. F., </w:t>
      </w:r>
      <w:proofErr w:type="spellStart"/>
      <w:r w:rsidRPr="00C0372D">
        <w:rPr>
          <w:shd w:val="clear" w:color="auto" w:fill="FFFFFF"/>
          <w:lang w:val="sv-SE"/>
        </w:rPr>
        <w:t>Traugott</w:t>
      </w:r>
      <w:proofErr w:type="spellEnd"/>
      <w:r w:rsidRPr="00C0372D">
        <w:rPr>
          <w:shd w:val="clear" w:color="auto" w:fill="FFFFFF"/>
          <w:lang w:val="sv-SE"/>
        </w:rPr>
        <w:t xml:space="preserve">, M. W., &amp; </w:t>
      </w:r>
      <w:proofErr w:type="spellStart"/>
      <w:r w:rsidRPr="00C0372D">
        <w:rPr>
          <w:shd w:val="clear" w:color="auto" w:fill="FFFFFF"/>
          <w:lang w:val="sv-SE"/>
        </w:rPr>
        <w:t>Beckmann</w:t>
      </w:r>
      <w:proofErr w:type="spellEnd"/>
      <w:r w:rsidRPr="00C0372D">
        <w:rPr>
          <w:shd w:val="clear" w:color="auto" w:fill="FFFFFF"/>
          <w:lang w:val="sv-SE"/>
        </w:rPr>
        <w:t xml:space="preserve">, M. N. (2001). </w:t>
      </w:r>
      <w:r w:rsidRPr="009D376C">
        <w:rPr>
          <w:shd w:val="clear" w:color="auto" w:fill="FFFFFF"/>
          <w:lang w:val="en-US"/>
        </w:rPr>
        <w:t xml:space="preserve">What leads to voting overreports? Contrasts of </w:t>
      </w:r>
      <w:proofErr w:type="spellStart"/>
      <w:r w:rsidRPr="009D376C">
        <w:rPr>
          <w:shd w:val="clear" w:color="auto" w:fill="FFFFFF"/>
          <w:lang w:val="en-US"/>
        </w:rPr>
        <w:t>overreporters</w:t>
      </w:r>
      <w:proofErr w:type="spellEnd"/>
      <w:r w:rsidRPr="009D376C">
        <w:rPr>
          <w:shd w:val="clear" w:color="auto" w:fill="FFFFFF"/>
          <w:lang w:val="en-US"/>
        </w:rPr>
        <w:t xml:space="preserve"> to validated voters and admitted nonvoters in the American National Election Studies. </w:t>
      </w:r>
      <w:r w:rsidRPr="009D376C">
        <w:rPr>
          <w:i/>
          <w:iCs/>
          <w:shd w:val="clear" w:color="auto" w:fill="FFFFFF"/>
          <w:lang w:val="en-US"/>
        </w:rPr>
        <w:t>Journal of Official Statistics</w:t>
      </w:r>
      <w:r w:rsidRPr="009D376C">
        <w:rPr>
          <w:shd w:val="clear" w:color="auto" w:fill="FFFFFF"/>
          <w:lang w:val="en-US"/>
        </w:rPr>
        <w:t>, </w:t>
      </w:r>
      <w:r w:rsidRPr="009D376C">
        <w:rPr>
          <w:i/>
          <w:iCs/>
          <w:shd w:val="clear" w:color="auto" w:fill="FFFFFF"/>
          <w:lang w:val="en-US"/>
        </w:rPr>
        <w:t>17</w:t>
      </w:r>
      <w:r w:rsidRPr="009D376C">
        <w:rPr>
          <w:shd w:val="clear" w:color="auto" w:fill="FFFFFF"/>
          <w:lang w:val="en-US"/>
        </w:rPr>
        <w:t>(4), 479.</w:t>
      </w:r>
    </w:p>
    <w:p w14:paraId="002F11FA" w14:textId="77777777" w:rsidR="00B33D62" w:rsidRPr="009D376C" w:rsidRDefault="00B33D62" w:rsidP="00B33D62">
      <w:pPr>
        <w:rPr>
          <w:lang w:val="fr-FR"/>
        </w:rPr>
      </w:pPr>
      <w:r w:rsidRPr="009D376C">
        <w:rPr>
          <w:shd w:val="clear" w:color="auto" w:fill="FFFFFF"/>
          <w:lang w:val="en-US"/>
        </w:rPr>
        <w:t>Groves, R. M., Singer, E., &amp; Corning, A. (2000). Leverage-saliency theory of survey participation: description and an illustration. </w:t>
      </w:r>
      <w:r w:rsidRPr="009D376C">
        <w:rPr>
          <w:i/>
          <w:iCs/>
          <w:shd w:val="clear" w:color="auto" w:fill="FFFFFF"/>
          <w:lang w:val="en-US"/>
        </w:rPr>
        <w:t>The Public Opinion Quarterly</w:t>
      </w:r>
      <w:r w:rsidRPr="009D376C">
        <w:rPr>
          <w:shd w:val="clear" w:color="auto" w:fill="FFFFFF"/>
          <w:lang w:val="en-US"/>
        </w:rPr>
        <w:t>, </w:t>
      </w:r>
      <w:r w:rsidRPr="009D376C">
        <w:rPr>
          <w:i/>
          <w:iCs/>
          <w:shd w:val="clear" w:color="auto" w:fill="FFFFFF"/>
          <w:lang w:val="en-US"/>
        </w:rPr>
        <w:t>64</w:t>
      </w:r>
      <w:r w:rsidRPr="009D376C">
        <w:rPr>
          <w:shd w:val="clear" w:color="auto" w:fill="FFFFFF"/>
          <w:lang w:val="en-US"/>
        </w:rPr>
        <w:t>(3), 299-308.</w:t>
      </w:r>
    </w:p>
    <w:p w14:paraId="28D16349" w14:textId="77777777" w:rsidR="00B33D62" w:rsidRPr="00B33D62" w:rsidRDefault="00B33D62" w:rsidP="00B33D62">
      <w:pPr>
        <w:rPr>
          <w:lang w:val="fi-FI"/>
        </w:rPr>
      </w:pPr>
      <w:r w:rsidRPr="009D376C">
        <w:rPr>
          <w:lang w:val="fr-FR"/>
        </w:rPr>
        <w:t xml:space="preserve">Groves, R. M., Presser, S., &amp; </w:t>
      </w:r>
      <w:proofErr w:type="spellStart"/>
      <w:r w:rsidRPr="009D376C">
        <w:rPr>
          <w:lang w:val="fr-FR"/>
        </w:rPr>
        <w:t>Dipko</w:t>
      </w:r>
      <w:proofErr w:type="spellEnd"/>
      <w:r w:rsidRPr="009D376C">
        <w:rPr>
          <w:lang w:val="fr-FR"/>
        </w:rPr>
        <w:t xml:space="preserve">, S. (2004). </w:t>
      </w:r>
      <w:r w:rsidRPr="009D376C">
        <w:rPr>
          <w:lang w:val="en-US"/>
        </w:rPr>
        <w:t xml:space="preserve">The role of topic interest in survey participation decisions. </w:t>
      </w:r>
      <w:r w:rsidRPr="00B33D62">
        <w:rPr>
          <w:i/>
          <w:iCs/>
          <w:lang w:val="fi-FI"/>
        </w:rPr>
        <w:t xml:space="preserve">Public </w:t>
      </w:r>
      <w:proofErr w:type="spellStart"/>
      <w:r w:rsidRPr="00B33D62">
        <w:rPr>
          <w:i/>
          <w:iCs/>
          <w:lang w:val="fi-FI"/>
        </w:rPr>
        <w:t>Opinion</w:t>
      </w:r>
      <w:proofErr w:type="spellEnd"/>
      <w:r w:rsidRPr="00B33D62">
        <w:rPr>
          <w:i/>
          <w:iCs/>
          <w:lang w:val="fi-FI"/>
        </w:rPr>
        <w:t xml:space="preserve"> </w:t>
      </w:r>
      <w:proofErr w:type="spellStart"/>
      <w:r w:rsidRPr="00B33D62">
        <w:rPr>
          <w:i/>
          <w:iCs/>
          <w:lang w:val="fi-FI"/>
        </w:rPr>
        <w:t>Quarterly</w:t>
      </w:r>
      <w:proofErr w:type="spellEnd"/>
      <w:r w:rsidRPr="00B33D62">
        <w:rPr>
          <w:lang w:val="fi-FI"/>
        </w:rPr>
        <w:t xml:space="preserve">, </w:t>
      </w:r>
      <w:r w:rsidRPr="00B33D62">
        <w:rPr>
          <w:i/>
          <w:iCs/>
          <w:lang w:val="fi-FI"/>
        </w:rPr>
        <w:t>68</w:t>
      </w:r>
      <w:r w:rsidRPr="00B33D62">
        <w:rPr>
          <w:lang w:val="fi-FI"/>
        </w:rPr>
        <w:t>(1), 2-31.</w:t>
      </w:r>
    </w:p>
    <w:p w14:paraId="03DABB98" w14:textId="77777777" w:rsidR="00B33D62" w:rsidRPr="00B33D62" w:rsidRDefault="00B33D62" w:rsidP="00B33D62">
      <w:pPr>
        <w:rPr>
          <w:lang w:val="fi-FI"/>
        </w:rPr>
      </w:pPr>
      <w:r w:rsidRPr="00B33D62">
        <w:rPr>
          <w:lang w:val="fi-FI"/>
        </w:rPr>
        <w:t xml:space="preserve">Mykkänen, J. (2011). Uskonto ja äänestäminen. </w:t>
      </w:r>
      <w:r w:rsidRPr="00B33D62">
        <w:rPr>
          <w:i/>
          <w:iCs/>
          <w:lang w:val="fi-FI"/>
        </w:rPr>
        <w:t>Muutosvaalit</w:t>
      </w:r>
      <w:r w:rsidRPr="00B33D62">
        <w:rPr>
          <w:lang w:val="fi-FI"/>
        </w:rPr>
        <w:t>, 292-309.</w:t>
      </w:r>
    </w:p>
    <w:p w14:paraId="795B706F" w14:textId="77777777" w:rsidR="00B33D62" w:rsidRPr="00B33D62" w:rsidRDefault="00B33D62" w:rsidP="00B33D62">
      <w:pPr>
        <w:rPr>
          <w:lang w:val="fi-FI"/>
        </w:rPr>
      </w:pPr>
      <w:proofErr w:type="spellStart"/>
      <w:r w:rsidRPr="00B33D62">
        <w:rPr>
          <w:lang w:val="fi-FI"/>
        </w:rPr>
        <w:t>Sherkat</w:t>
      </w:r>
      <w:proofErr w:type="spellEnd"/>
      <w:r w:rsidRPr="00B33D62">
        <w:rPr>
          <w:lang w:val="fi-FI"/>
        </w:rPr>
        <w:t xml:space="preserve"> Darren (2007). </w:t>
      </w:r>
      <w:r w:rsidRPr="009D376C">
        <w:rPr>
          <w:lang w:val="en-US"/>
        </w:rPr>
        <w:t xml:space="preserve">Religion and Survey Non-Response Bias. Toward Explaining the Moral Voter Gap between Surveys and Voting. </w:t>
      </w:r>
      <w:proofErr w:type="spellStart"/>
      <w:r w:rsidRPr="00B33D62">
        <w:rPr>
          <w:lang w:val="fi-FI"/>
        </w:rPr>
        <w:t>Sociology</w:t>
      </w:r>
      <w:proofErr w:type="spellEnd"/>
      <w:r w:rsidRPr="00B33D62">
        <w:rPr>
          <w:lang w:val="fi-FI"/>
        </w:rPr>
        <w:t xml:space="preserve"> of </w:t>
      </w:r>
      <w:proofErr w:type="spellStart"/>
      <w:r w:rsidRPr="00B33D62">
        <w:rPr>
          <w:lang w:val="fi-FI"/>
        </w:rPr>
        <w:t>Religion</w:t>
      </w:r>
      <w:proofErr w:type="spellEnd"/>
      <w:r w:rsidRPr="00B33D62">
        <w:rPr>
          <w:lang w:val="fi-FI"/>
        </w:rPr>
        <w:t xml:space="preserve"> 2007, 68:1, 83-95).</w:t>
      </w:r>
    </w:p>
    <w:p w14:paraId="23260521" w14:textId="26176FB2" w:rsidR="006C11D5" w:rsidRDefault="006C11D5" w:rsidP="006C11D5">
      <w:pPr>
        <w:jc w:val="left"/>
        <w:rPr>
          <w:shd w:val="clear" w:color="auto" w:fill="FFFFFF"/>
        </w:rPr>
      </w:pPr>
      <w:r>
        <w:rPr>
          <w:shd w:val="clear" w:color="auto" w:fill="FFFFFF"/>
        </w:rPr>
        <w:t>Official Statistics of Finland (OSF): Population structure [e-publication].</w:t>
      </w:r>
      <w:r>
        <w:br/>
      </w:r>
      <w:r>
        <w:rPr>
          <w:shd w:val="clear" w:color="auto" w:fill="FFFFFF"/>
        </w:rPr>
        <w:t>ISSN=1797-5395. 2018, Appendix table 1. Population according to language 1980–</w:t>
      </w:r>
      <w:proofErr w:type="gramStart"/>
      <w:r>
        <w:rPr>
          <w:shd w:val="clear" w:color="auto" w:fill="FFFFFF"/>
        </w:rPr>
        <w:t>2018 .</w:t>
      </w:r>
      <w:proofErr w:type="gramEnd"/>
      <w:r>
        <w:rPr>
          <w:shd w:val="clear" w:color="auto" w:fill="FFFFFF"/>
        </w:rPr>
        <w:t xml:space="preserve"> Helsinki: Statistics Finland [referred: 27.6.2019].</w:t>
      </w:r>
      <w:r>
        <w:br/>
      </w:r>
      <w:r>
        <w:rPr>
          <w:shd w:val="clear" w:color="auto" w:fill="FFFFFF"/>
        </w:rPr>
        <w:t xml:space="preserve">Access method: </w:t>
      </w:r>
      <w:hyperlink r:id="rId12" w:history="1">
        <w:r w:rsidRPr="009F7763">
          <w:rPr>
            <w:rStyle w:val="Hyperlinkki"/>
            <w:sz w:val="18"/>
            <w:szCs w:val="18"/>
            <w:shd w:val="clear" w:color="auto" w:fill="FFFFFF"/>
          </w:rPr>
          <w:t>http://www.stat.fi/til/vaerak/2018/vaerak_2018_2019-03-29_tau_001_en.html</w:t>
        </w:r>
      </w:hyperlink>
    </w:p>
    <w:p w14:paraId="36322DCB" w14:textId="46C232DC" w:rsidR="00B33D62" w:rsidRPr="009D376C" w:rsidRDefault="00B33D62" w:rsidP="00B33D62">
      <w:pPr>
        <w:rPr>
          <w:lang w:val="en-US"/>
        </w:rPr>
      </w:pPr>
      <w:proofErr w:type="spellStart"/>
      <w:r w:rsidRPr="006C11D5">
        <w:rPr>
          <w:shd w:val="clear" w:color="auto" w:fill="FFFFFF"/>
          <w:lang w:val="fi-FI"/>
        </w:rPr>
        <w:t>Teisl</w:t>
      </w:r>
      <w:proofErr w:type="spellEnd"/>
      <w:r w:rsidRPr="006C11D5">
        <w:rPr>
          <w:shd w:val="clear" w:color="auto" w:fill="FFFFFF"/>
          <w:lang w:val="fi-FI"/>
        </w:rPr>
        <w:t xml:space="preserve">, M. F., </w:t>
      </w:r>
      <w:proofErr w:type="spellStart"/>
      <w:r w:rsidRPr="006C11D5">
        <w:rPr>
          <w:shd w:val="clear" w:color="auto" w:fill="FFFFFF"/>
          <w:lang w:val="fi-FI"/>
        </w:rPr>
        <w:t>Roe</w:t>
      </w:r>
      <w:proofErr w:type="spellEnd"/>
      <w:r w:rsidRPr="006C11D5">
        <w:rPr>
          <w:shd w:val="clear" w:color="auto" w:fill="FFFFFF"/>
          <w:lang w:val="fi-FI"/>
        </w:rPr>
        <w:t xml:space="preserve">, B., &amp; </w:t>
      </w:r>
      <w:proofErr w:type="spellStart"/>
      <w:r w:rsidRPr="006C11D5">
        <w:rPr>
          <w:shd w:val="clear" w:color="auto" w:fill="FFFFFF"/>
          <w:lang w:val="fi-FI"/>
        </w:rPr>
        <w:t>Vayda</w:t>
      </w:r>
      <w:proofErr w:type="spellEnd"/>
      <w:r w:rsidRPr="006C11D5">
        <w:rPr>
          <w:shd w:val="clear" w:color="auto" w:fill="FFFFFF"/>
          <w:lang w:val="fi-FI"/>
        </w:rPr>
        <w:t xml:space="preserve">, M. E. (2005). </w:t>
      </w:r>
      <w:r w:rsidRPr="009D376C">
        <w:rPr>
          <w:shd w:val="clear" w:color="auto" w:fill="FFFFFF"/>
          <w:lang w:val="en-US"/>
        </w:rPr>
        <w:t>Incentive effects on response rates, data quality, and survey administration costs. </w:t>
      </w:r>
      <w:r w:rsidRPr="009D376C">
        <w:rPr>
          <w:i/>
          <w:iCs/>
          <w:shd w:val="clear" w:color="auto" w:fill="FFFFFF"/>
        </w:rPr>
        <w:t>International Journal of Public Opinion Research</w:t>
      </w:r>
      <w:r w:rsidRPr="009D376C">
        <w:rPr>
          <w:shd w:val="clear" w:color="auto" w:fill="FFFFFF"/>
        </w:rPr>
        <w:t>, </w:t>
      </w:r>
      <w:r w:rsidRPr="009D376C">
        <w:rPr>
          <w:i/>
          <w:iCs/>
          <w:shd w:val="clear" w:color="auto" w:fill="FFFFFF"/>
        </w:rPr>
        <w:t>18</w:t>
      </w:r>
      <w:r w:rsidRPr="009D376C">
        <w:rPr>
          <w:shd w:val="clear" w:color="auto" w:fill="FFFFFF"/>
        </w:rPr>
        <w:t>(3), 364-373.</w:t>
      </w:r>
    </w:p>
    <w:p w14:paraId="3E138E53" w14:textId="77777777" w:rsidR="006B1F86" w:rsidRPr="00DB4182" w:rsidRDefault="006B1F86" w:rsidP="002A6A14"/>
    <w:sectPr w:rsidR="006B1F86" w:rsidRPr="00DB4182" w:rsidSect="0023623C">
      <w:headerReference w:type="even" r:id="rId13"/>
      <w:headerReference w:type="default" r:id="rId14"/>
      <w:footerReference w:type="default" r:id="rId15"/>
      <w:headerReference w:type="first" r:id="rId16"/>
      <w:pgSz w:w="11906" w:h="16838"/>
      <w:pgMar w:top="1417" w:right="1417" w:bottom="1417" w:left="1417" w:header="397" w:footer="35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uhani Saari" w:date="2019-06-20T10:05:00Z" w:initials="SJ(">
    <w:p w14:paraId="6B8C0757" w14:textId="77777777" w:rsidR="0082379F" w:rsidRPr="00B44857" w:rsidRDefault="0082379F">
      <w:pPr>
        <w:pStyle w:val="Kommentinteksti"/>
        <w:rPr>
          <w:lang w:val="fi-FI"/>
        </w:rPr>
      </w:pPr>
      <w:r>
        <w:rPr>
          <w:rStyle w:val="Kommentinviite"/>
        </w:rPr>
        <w:annotationRef/>
      </w:r>
      <w:r w:rsidRPr="00B44857">
        <w:rPr>
          <w:lang w:val="fi-FI"/>
        </w:rPr>
        <w:t>tsekkaatko tämän?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8C07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8C0757" w16cid:durableId="20B5D8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55AA5" w14:textId="77777777" w:rsidR="00DB4182" w:rsidRDefault="00DB4182" w:rsidP="002A6A14">
      <w:r>
        <w:separator/>
      </w:r>
    </w:p>
  </w:endnote>
  <w:endnote w:type="continuationSeparator" w:id="0">
    <w:p w14:paraId="4C9D3056" w14:textId="77777777" w:rsidR="00DB4182" w:rsidRDefault="00DB4182" w:rsidP="002A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sdtContent>
      <w:p w14:paraId="31820947" w14:textId="77777777" w:rsidR="00DB4182" w:rsidRPr="009378F5" w:rsidRDefault="00DB4182" w:rsidP="002A6A14">
        <w:pPr>
          <w:pStyle w:val="Alatunniste"/>
        </w:pPr>
        <w:r w:rsidRPr="009378F5">
          <w:fldChar w:fldCharType="begin"/>
        </w:r>
        <w:r w:rsidRPr="009378F5">
          <w:instrText>PAGE   \* MERGEFORMAT</w:instrText>
        </w:r>
        <w:r w:rsidRPr="009378F5">
          <w:fldChar w:fldCharType="separate"/>
        </w:r>
        <w:r w:rsidR="00F80659">
          <w:rPr>
            <w:noProof/>
          </w:rPr>
          <w:t>13</w:t>
        </w:r>
        <w:r w:rsidRPr="009378F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A0ABF" w14:textId="77777777" w:rsidR="00DB4182" w:rsidRDefault="00DB4182" w:rsidP="002A6A14">
      <w:r>
        <w:separator/>
      </w:r>
    </w:p>
  </w:footnote>
  <w:footnote w:type="continuationSeparator" w:id="0">
    <w:p w14:paraId="7B039D6F" w14:textId="77777777" w:rsidR="00DB4182" w:rsidRDefault="00DB4182" w:rsidP="002A6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79BE" w14:textId="77777777" w:rsidR="00DB4182" w:rsidRDefault="00D03606" w:rsidP="002A6A14">
    <w:pPr>
      <w:pStyle w:val="Yltunniste"/>
    </w:pPr>
    <w:r>
      <w:rPr>
        <w:noProof/>
        <w:lang w:eastAsia="pl-PL"/>
      </w:rPr>
      <w:pict w14:anchorId="4CC85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A636" w14:textId="77777777" w:rsidR="00DB4182" w:rsidRPr="000B0921" w:rsidRDefault="00DB4182" w:rsidP="002A6A14">
    <w:pPr>
      <w:pStyle w:val="Yltunniste"/>
    </w:pPr>
    <w:r>
      <w:rPr>
        <w:noProof/>
        <w:lang w:val="et-EE" w:eastAsia="et-EE"/>
      </w:rPr>
      <w:drawing>
        <wp:inline distT="0" distB="0" distL="0" distR="0" wp14:anchorId="3C98263A" wp14:editId="33FF4BF3">
          <wp:extent cx="1333500" cy="501934"/>
          <wp:effectExtent l="0" t="0" r="0" b="0"/>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0BBF" w14:textId="77777777" w:rsidR="00DB4182" w:rsidRDefault="00D03606" w:rsidP="002A6A14">
    <w:pPr>
      <w:pStyle w:val="Yltunniste"/>
    </w:pPr>
    <w:r>
      <w:rPr>
        <w:noProof/>
        <w:lang w:eastAsia="pl-PL"/>
      </w:rPr>
      <w:pict w14:anchorId="64116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BAA"/>
    <w:multiLevelType w:val="multilevel"/>
    <w:tmpl w:val="B4E427A4"/>
    <w:lvl w:ilvl="0">
      <w:start w:val="1"/>
      <w:numFmt w:val="decimal"/>
      <w:pStyle w:val="Otsikko2"/>
      <w:suff w:val="space"/>
      <w:lvlText w:val="%1."/>
      <w:lvlJc w:val="left"/>
      <w:pPr>
        <w:ind w:left="426"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 w15:restartNumberingAfterBreak="0">
    <w:nsid w:val="26955C93"/>
    <w:multiLevelType w:val="hybridMultilevel"/>
    <w:tmpl w:val="ADC61E2A"/>
    <w:lvl w:ilvl="0" w:tplc="D4D0D0A4">
      <w:start w:val="3"/>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2FE4A3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hani Saari">
    <w15:presenceInfo w15:providerId="AD" w15:userId="S-1-5-21-925486993-221958224-1332092867-30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26CD3"/>
    <w:rsid w:val="00047C24"/>
    <w:rsid w:val="00070925"/>
    <w:rsid w:val="0007704A"/>
    <w:rsid w:val="00090401"/>
    <w:rsid w:val="000957CC"/>
    <w:rsid w:val="000B0921"/>
    <w:rsid w:val="000C5E77"/>
    <w:rsid w:val="000C61FC"/>
    <w:rsid w:val="000C6472"/>
    <w:rsid w:val="000D63FF"/>
    <w:rsid w:val="000D705A"/>
    <w:rsid w:val="000F337F"/>
    <w:rsid w:val="000F7F1A"/>
    <w:rsid w:val="00105FAE"/>
    <w:rsid w:val="0011262B"/>
    <w:rsid w:val="00114E8D"/>
    <w:rsid w:val="00133E07"/>
    <w:rsid w:val="00142A8D"/>
    <w:rsid w:val="00156AB3"/>
    <w:rsid w:val="00157DAD"/>
    <w:rsid w:val="00160406"/>
    <w:rsid w:val="0016743D"/>
    <w:rsid w:val="00182357"/>
    <w:rsid w:val="001D1A3A"/>
    <w:rsid w:val="001D4E31"/>
    <w:rsid w:val="001E43DC"/>
    <w:rsid w:val="001F0FA6"/>
    <w:rsid w:val="00221F17"/>
    <w:rsid w:val="00234927"/>
    <w:rsid w:val="0023623C"/>
    <w:rsid w:val="00242620"/>
    <w:rsid w:val="0028150C"/>
    <w:rsid w:val="00282B53"/>
    <w:rsid w:val="00293580"/>
    <w:rsid w:val="00294E47"/>
    <w:rsid w:val="002A6A14"/>
    <w:rsid w:val="002B3DFD"/>
    <w:rsid w:val="002B6D33"/>
    <w:rsid w:val="002D3714"/>
    <w:rsid w:val="00306EA0"/>
    <w:rsid w:val="00335E1D"/>
    <w:rsid w:val="00336E21"/>
    <w:rsid w:val="0035694D"/>
    <w:rsid w:val="00361F5E"/>
    <w:rsid w:val="00362815"/>
    <w:rsid w:val="003A1D16"/>
    <w:rsid w:val="003D0235"/>
    <w:rsid w:val="003F740E"/>
    <w:rsid w:val="004150F5"/>
    <w:rsid w:val="00416C79"/>
    <w:rsid w:val="004740F1"/>
    <w:rsid w:val="00493026"/>
    <w:rsid w:val="004A12A7"/>
    <w:rsid w:val="004A1A99"/>
    <w:rsid w:val="004B39C1"/>
    <w:rsid w:val="004B6729"/>
    <w:rsid w:val="004C5048"/>
    <w:rsid w:val="004C52DF"/>
    <w:rsid w:val="004F04B4"/>
    <w:rsid w:val="005215E8"/>
    <w:rsid w:val="00525E22"/>
    <w:rsid w:val="00530FD6"/>
    <w:rsid w:val="00544D9F"/>
    <w:rsid w:val="0055614A"/>
    <w:rsid w:val="00572FDA"/>
    <w:rsid w:val="0057402F"/>
    <w:rsid w:val="005812C5"/>
    <w:rsid w:val="0058233D"/>
    <w:rsid w:val="0059712F"/>
    <w:rsid w:val="005A1F57"/>
    <w:rsid w:val="005B6971"/>
    <w:rsid w:val="006052BF"/>
    <w:rsid w:val="00653D6C"/>
    <w:rsid w:val="00667788"/>
    <w:rsid w:val="006700C3"/>
    <w:rsid w:val="0068746F"/>
    <w:rsid w:val="0069009D"/>
    <w:rsid w:val="00697934"/>
    <w:rsid w:val="006B1F86"/>
    <w:rsid w:val="006B5A4A"/>
    <w:rsid w:val="006C11D5"/>
    <w:rsid w:val="006C5879"/>
    <w:rsid w:val="0073562E"/>
    <w:rsid w:val="00741621"/>
    <w:rsid w:val="007730C4"/>
    <w:rsid w:val="00776C97"/>
    <w:rsid w:val="00783854"/>
    <w:rsid w:val="007B0D73"/>
    <w:rsid w:val="007B2114"/>
    <w:rsid w:val="007C0E37"/>
    <w:rsid w:val="007C24C3"/>
    <w:rsid w:val="007E6D8C"/>
    <w:rsid w:val="0082373C"/>
    <w:rsid w:val="0082379F"/>
    <w:rsid w:val="00845BF9"/>
    <w:rsid w:val="00847C76"/>
    <w:rsid w:val="00867B2C"/>
    <w:rsid w:val="00873330"/>
    <w:rsid w:val="00883326"/>
    <w:rsid w:val="008A71D2"/>
    <w:rsid w:val="008B0935"/>
    <w:rsid w:val="008D56E1"/>
    <w:rsid w:val="008D6094"/>
    <w:rsid w:val="00902A7F"/>
    <w:rsid w:val="009378F5"/>
    <w:rsid w:val="00973B8D"/>
    <w:rsid w:val="00985C7B"/>
    <w:rsid w:val="009B0C0A"/>
    <w:rsid w:val="009B7EA8"/>
    <w:rsid w:val="00A23816"/>
    <w:rsid w:val="00A454B6"/>
    <w:rsid w:val="00A531F2"/>
    <w:rsid w:val="00A6013E"/>
    <w:rsid w:val="00A860B0"/>
    <w:rsid w:val="00AD1423"/>
    <w:rsid w:val="00AD4AEE"/>
    <w:rsid w:val="00B33D62"/>
    <w:rsid w:val="00B44857"/>
    <w:rsid w:val="00B47197"/>
    <w:rsid w:val="00B72169"/>
    <w:rsid w:val="00B74218"/>
    <w:rsid w:val="00B77A7F"/>
    <w:rsid w:val="00B81ABC"/>
    <w:rsid w:val="00B86FC7"/>
    <w:rsid w:val="00B912C3"/>
    <w:rsid w:val="00BA21C0"/>
    <w:rsid w:val="00BB19AC"/>
    <w:rsid w:val="00BB5A91"/>
    <w:rsid w:val="00BC26CE"/>
    <w:rsid w:val="00BF6DBC"/>
    <w:rsid w:val="00C01F47"/>
    <w:rsid w:val="00C0372D"/>
    <w:rsid w:val="00C16E8E"/>
    <w:rsid w:val="00C261EA"/>
    <w:rsid w:val="00C40213"/>
    <w:rsid w:val="00C444A7"/>
    <w:rsid w:val="00C47B34"/>
    <w:rsid w:val="00C55909"/>
    <w:rsid w:val="00C726EA"/>
    <w:rsid w:val="00C74A1D"/>
    <w:rsid w:val="00C91E82"/>
    <w:rsid w:val="00CB2B44"/>
    <w:rsid w:val="00CB4074"/>
    <w:rsid w:val="00CC1C1D"/>
    <w:rsid w:val="00CF33AD"/>
    <w:rsid w:val="00CF50FF"/>
    <w:rsid w:val="00CF656A"/>
    <w:rsid w:val="00D01603"/>
    <w:rsid w:val="00D0258C"/>
    <w:rsid w:val="00D0270E"/>
    <w:rsid w:val="00D20550"/>
    <w:rsid w:val="00D3638C"/>
    <w:rsid w:val="00D52194"/>
    <w:rsid w:val="00D65C24"/>
    <w:rsid w:val="00D744EE"/>
    <w:rsid w:val="00DA50A8"/>
    <w:rsid w:val="00DA74F6"/>
    <w:rsid w:val="00DB4182"/>
    <w:rsid w:val="00DB5AF2"/>
    <w:rsid w:val="00DD4526"/>
    <w:rsid w:val="00DD4977"/>
    <w:rsid w:val="00DD7691"/>
    <w:rsid w:val="00DE01B4"/>
    <w:rsid w:val="00DF27A8"/>
    <w:rsid w:val="00DF43EA"/>
    <w:rsid w:val="00E261EB"/>
    <w:rsid w:val="00E7228E"/>
    <w:rsid w:val="00E82B25"/>
    <w:rsid w:val="00E92831"/>
    <w:rsid w:val="00E9313B"/>
    <w:rsid w:val="00EB7A63"/>
    <w:rsid w:val="00EC5F5A"/>
    <w:rsid w:val="00EE4A70"/>
    <w:rsid w:val="00F30C27"/>
    <w:rsid w:val="00F472E8"/>
    <w:rsid w:val="00F47414"/>
    <w:rsid w:val="00F51570"/>
    <w:rsid w:val="00F52FC2"/>
    <w:rsid w:val="00F66BA9"/>
    <w:rsid w:val="00F74EA2"/>
    <w:rsid w:val="00F80659"/>
    <w:rsid w:val="00FE0BB8"/>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5118CD12"/>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A6A14"/>
    <w:pPr>
      <w:spacing w:before="120" w:after="0" w:line="360" w:lineRule="auto"/>
      <w:jc w:val="both"/>
    </w:pPr>
    <w:rPr>
      <w:rFonts w:ascii="Arial" w:hAnsi="Arial" w:cs="Arial"/>
      <w:sz w:val="24"/>
      <w:szCs w:val="24"/>
      <w:lang w:val="en-GB"/>
    </w:rPr>
  </w:style>
  <w:style w:type="paragraph" w:styleId="Otsikko1">
    <w:name w:val="heading 1"/>
    <w:basedOn w:val="Normaali"/>
    <w:next w:val="Normaali"/>
    <w:link w:val="Otsikko1Char"/>
    <w:uiPriority w:val="9"/>
    <w:qFormat/>
    <w:rsid w:val="00544D9F"/>
    <w:pPr>
      <w:keepNext/>
      <w:keepLines/>
      <w:jc w:val="center"/>
      <w:outlineLvl w:val="0"/>
    </w:pPr>
    <w:rPr>
      <w:rFonts w:eastAsiaTheme="majorEastAsia" w:cstheme="majorBidi"/>
      <w:b/>
      <w:sz w:val="48"/>
      <w:szCs w:val="32"/>
    </w:rPr>
  </w:style>
  <w:style w:type="paragraph" w:styleId="Otsikko2">
    <w:name w:val="heading 2"/>
    <w:basedOn w:val="Normaali"/>
    <w:next w:val="Normaali"/>
    <w:link w:val="Otsikko2Char"/>
    <w:uiPriority w:val="9"/>
    <w:unhideWhenUsed/>
    <w:qFormat/>
    <w:rsid w:val="00544D9F"/>
    <w:pPr>
      <w:keepNext/>
      <w:keepLines/>
      <w:numPr>
        <w:numId w:val="4"/>
      </w:numPr>
      <w:spacing w:before="360"/>
      <w:ind w:left="0"/>
      <w:outlineLvl w:val="1"/>
    </w:pPr>
    <w:rPr>
      <w:rFonts w:eastAsiaTheme="majorEastAsia" w:cstheme="majorBidi"/>
      <w:b/>
      <w:szCs w:val="26"/>
    </w:rPr>
  </w:style>
  <w:style w:type="paragraph" w:styleId="Otsikko3">
    <w:name w:val="heading 3"/>
    <w:basedOn w:val="Normaali"/>
    <w:next w:val="Normaali"/>
    <w:link w:val="Otsikko3Char"/>
    <w:uiPriority w:val="9"/>
    <w:unhideWhenUsed/>
    <w:qFormat/>
    <w:rsid w:val="00CF50FF"/>
    <w:pPr>
      <w:keepNext/>
      <w:keepLines/>
      <w:numPr>
        <w:ilvl w:val="2"/>
        <w:numId w:val="4"/>
      </w:numPr>
      <w:spacing w:before="360"/>
      <w:outlineLvl w:val="2"/>
    </w:pPr>
    <w:rPr>
      <w:rFonts w:eastAsiaTheme="majorEastAsia" w:cstheme="majorBidi"/>
      <w:i/>
    </w:rPr>
  </w:style>
  <w:style w:type="paragraph" w:styleId="Otsikko4">
    <w:name w:val="heading 4"/>
    <w:basedOn w:val="Normaali"/>
    <w:next w:val="Normaali"/>
    <w:link w:val="Otsikko4Char"/>
    <w:uiPriority w:val="9"/>
    <w:semiHidden/>
    <w:unhideWhenUsed/>
    <w:qFormat/>
    <w:rsid w:val="002B3DFD"/>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2B3DFD"/>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2B3DFD"/>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2B3DFD"/>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2B3DF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2B3DF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B47197"/>
    <w:pPr>
      <w:spacing w:after="0" w:line="240" w:lineRule="auto"/>
    </w:pPr>
  </w:style>
  <w:style w:type="paragraph" w:styleId="Seliteteksti">
    <w:name w:val="Balloon Text"/>
    <w:basedOn w:val="Normaali"/>
    <w:link w:val="SelitetekstiChar"/>
    <w:uiPriority w:val="99"/>
    <w:semiHidden/>
    <w:unhideWhenUsed/>
    <w:rsid w:val="00B47197"/>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7197"/>
    <w:rPr>
      <w:rFonts w:ascii="Segoe UI" w:hAnsi="Segoe UI" w:cs="Segoe UI"/>
      <w:sz w:val="18"/>
      <w:szCs w:val="18"/>
    </w:rPr>
  </w:style>
  <w:style w:type="paragraph" w:styleId="Yltunniste">
    <w:name w:val="header"/>
    <w:basedOn w:val="Normaali"/>
    <w:link w:val="YltunnisteChar"/>
    <w:uiPriority w:val="99"/>
    <w:unhideWhenUsed/>
    <w:rsid w:val="00E82B25"/>
    <w:pPr>
      <w:tabs>
        <w:tab w:val="center" w:pos="4536"/>
        <w:tab w:val="right" w:pos="9072"/>
      </w:tabs>
      <w:spacing w:line="240" w:lineRule="auto"/>
    </w:pPr>
  </w:style>
  <w:style w:type="character" w:customStyle="1" w:styleId="YltunnisteChar">
    <w:name w:val="Ylätunniste Char"/>
    <w:basedOn w:val="Kappaleenoletusfontti"/>
    <w:link w:val="Yltunniste"/>
    <w:uiPriority w:val="99"/>
    <w:rsid w:val="00E82B25"/>
  </w:style>
  <w:style w:type="paragraph" w:styleId="Alatunniste">
    <w:name w:val="footer"/>
    <w:basedOn w:val="Normaali"/>
    <w:link w:val="AlatunnisteChar"/>
    <w:uiPriority w:val="99"/>
    <w:unhideWhenUsed/>
    <w:rsid w:val="00E82B25"/>
    <w:pPr>
      <w:tabs>
        <w:tab w:val="center" w:pos="4536"/>
        <w:tab w:val="right" w:pos="9072"/>
      </w:tabs>
      <w:spacing w:line="240" w:lineRule="auto"/>
    </w:pPr>
  </w:style>
  <w:style w:type="character" w:customStyle="1" w:styleId="AlatunnisteChar">
    <w:name w:val="Alatunniste Char"/>
    <w:basedOn w:val="Kappaleenoletusfontti"/>
    <w:link w:val="Alatunniste"/>
    <w:uiPriority w:val="99"/>
    <w:rsid w:val="00E82B25"/>
  </w:style>
  <w:style w:type="character" w:styleId="Kommentinviite">
    <w:name w:val="annotation reference"/>
    <w:basedOn w:val="Kappaleenoletusfontti"/>
    <w:uiPriority w:val="99"/>
    <w:semiHidden/>
    <w:unhideWhenUsed/>
    <w:rsid w:val="00697934"/>
    <w:rPr>
      <w:sz w:val="16"/>
      <w:szCs w:val="16"/>
    </w:rPr>
  </w:style>
  <w:style w:type="paragraph" w:styleId="Kommentinteksti">
    <w:name w:val="annotation text"/>
    <w:basedOn w:val="Normaali"/>
    <w:link w:val="KommentintekstiChar"/>
    <w:uiPriority w:val="99"/>
    <w:semiHidden/>
    <w:unhideWhenUsed/>
    <w:rsid w:val="0069793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7934"/>
    <w:rPr>
      <w:sz w:val="20"/>
      <w:szCs w:val="20"/>
    </w:rPr>
  </w:style>
  <w:style w:type="paragraph" w:styleId="Kommentinotsikko">
    <w:name w:val="annotation subject"/>
    <w:basedOn w:val="Kommentinteksti"/>
    <w:next w:val="Kommentinteksti"/>
    <w:link w:val="KommentinotsikkoChar"/>
    <w:uiPriority w:val="99"/>
    <w:semiHidden/>
    <w:unhideWhenUsed/>
    <w:rsid w:val="00697934"/>
    <w:rPr>
      <w:b/>
      <w:bCs/>
    </w:rPr>
  </w:style>
  <w:style w:type="character" w:customStyle="1" w:styleId="KommentinotsikkoChar">
    <w:name w:val="Kommentin otsikko Char"/>
    <w:basedOn w:val="KommentintekstiChar"/>
    <w:link w:val="Kommentinotsikko"/>
    <w:uiPriority w:val="99"/>
    <w:semiHidden/>
    <w:rsid w:val="00697934"/>
    <w:rPr>
      <w:b/>
      <w:bCs/>
      <w:sz w:val="20"/>
      <w:szCs w:val="20"/>
    </w:rPr>
  </w:style>
  <w:style w:type="character" w:styleId="Hyperlinkki">
    <w:name w:val="Hyperlink"/>
    <w:basedOn w:val="Kappaleenoletusfontti"/>
    <w:uiPriority w:val="99"/>
    <w:unhideWhenUsed/>
    <w:rsid w:val="00A454B6"/>
    <w:rPr>
      <w:color w:val="0563C1" w:themeColor="hyperlink"/>
      <w:u w:val="single"/>
    </w:rPr>
  </w:style>
  <w:style w:type="paragraph" w:styleId="Alaviitteenteksti">
    <w:name w:val="footnote text"/>
    <w:basedOn w:val="Normaali"/>
    <w:link w:val="AlaviitteentekstiChar"/>
    <w:uiPriority w:val="99"/>
    <w:unhideWhenUsed/>
    <w:rsid w:val="00F30C27"/>
    <w:pPr>
      <w:spacing w:line="240" w:lineRule="auto"/>
    </w:pPr>
    <w:rPr>
      <w:sz w:val="20"/>
      <w:szCs w:val="20"/>
    </w:rPr>
  </w:style>
  <w:style w:type="character" w:customStyle="1" w:styleId="AlaviitteentekstiChar">
    <w:name w:val="Alaviitteen teksti Char"/>
    <w:basedOn w:val="Kappaleenoletusfontti"/>
    <w:link w:val="Alaviitteenteksti"/>
    <w:uiPriority w:val="99"/>
    <w:rsid w:val="00F30C27"/>
    <w:rPr>
      <w:sz w:val="20"/>
      <w:szCs w:val="20"/>
    </w:rPr>
  </w:style>
  <w:style w:type="character" w:styleId="Alaviitteenviite">
    <w:name w:val="footnote reference"/>
    <w:basedOn w:val="Kappaleenoletusfontti"/>
    <w:uiPriority w:val="99"/>
    <w:semiHidden/>
    <w:unhideWhenUsed/>
    <w:rsid w:val="00F30C27"/>
    <w:rPr>
      <w:vertAlign w:val="superscript"/>
    </w:rPr>
  </w:style>
  <w:style w:type="paragraph" w:styleId="Kuvaotsikko">
    <w:name w:val="caption"/>
    <w:basedOn w:val="Normaali"/>
    <w:next w:val="Normaali"/>
    <w:uiPriority w:val="35"/>
    <w:unhideWhenUsed/>
    <w:qFormat/>
    <w:rsid w:val="000D63FF"/>
    <w:pPr>
      <w:keepNext/>
      <w:spacing w:after="200" w:line="240" w:lineRule="auto"/>
    </w:pPr>
    <w:rPr>
      <w:b/>
      <w:iCs/>
      <w:sz w:val="20"/>
      <w:szCs w:val="20"/>
    </w:rPr>
  </w:style>
  <w:style w:type="character" w:customStyle="1" w:styleId="Otsikko2Char">
    <w:name w:val="Otsikko 2 Char"/>
    <w:basedOn w:val="Kappaleenoletusfontti"/>
    <w:link w:val="Otsikko2"/>
    <w:uiPriority w:val="9"/>
    <w:rsid w:val="00544D9F"/>
    <w:rPr>
      <w:rFonts w:ascii="Arial" w:eastAsiaTheme="majorEastAsia" w:hAnsi="Arial" w:cstheme="majorBidi"/>
      <w:b/>
      <w:sz w:val="24"/>
      <w:szCs w:val="26"/>
    </w:rPr>
  </w:style>
  <w:style w:type="paragraph" w:styleId="Otsikko">
    <w:name w:val="Title"/>
    <w:basedOn w:val="Normaali"/>
    <w:next w:val="Normaali"/>
    <w:link w:val="OtsikkoChar"/>
    <w:uiPriority w:val="10"/>
    <w:qFormat/>
    <w:rsid w:val="00DB4182"/>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B4182"/>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DB4182"/>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DB4182"/>
    <w:rPr>
      <w:rFonts w:eastAsiaTheme="minorEastAsia"/>
      <w:color w:val="5A5A5A" w:themeColor="text1" w:themeTint="A5"/>
      <w:spacing w:val="15"/>
    </w:rPr>
  </w:style>
  <w:style w:type="character" w:customStyle="1" w:styleId="Ratkaisematonmaininta1">
    <w:name w:val="Ratkaisematon maininta1"/>
    <w:basedOn w:val="Kappaleenoletusfontti"/>
    <w:uiPriority w:val="99"/>
    <w:semiHidden/>
    <w:unhideWhenUsed/>
    <w:rsid w:val="006B1F86"/>
    <w:rPr>
      <w:color w:val="605E5C"/>
      <w:shd w:val="clear" w:color="auto" w:fill="E1DFDD"/>
    </w:rPr>
  </w:style>
  <w:style w:type="paragraph" w:styleId="Luettelokappale">
    <w:name w:val="List Paragraph"/>
    <w:basedOn w:val="Normaali"/>
    <w:uiPriority w:val="34"/>
    <w:qFormat/>
    <w:rsid w:val="00DF43EA"/>
    <w:pPr>
      <w:ind w:left="720"/>
      <w:contextualSpacing/>
    </w:pPr>
  </w:style>
  <w:style w:type="character" w:customStyle="1" w:styleId="Otsikko1Char">
    <w:name w:val="Otsikko 1 Char"/>
    <w:basedOn w:val="Kappaleenoletusfontti"/>
    <w:link w:val="Otsikko1"/>
    <w:uiPriority w:val="9"/>
    <w:rsid w:val="00544D9F"/>
    <w:rPr>
      <w:rFonts w:ascii="Arial" w:eastAsiaTheme="majorEastAsia" w:hAnsi="Arial" w:cstheme="majorBidi"/>
      <w:b/>
      <w:sz w:val="48"/>
      <w:szCs w:val="32"/>
    </w:rPr>
  </w:style>
  <w:style w:type="character" w:customStyle="1" w:styleId="Otsikko3Char">
    <w:name w:val="Otsikko 3 Char"/>
    <w:basedOn w:val="Kappaleenoletusfontti"/>
    <w:link w:val="Otsikko3"/>
    <w:uiPriority w:val="9"/>
    <w:rsid w:val="00CF50FF"/>
    <w:rPr>
      <w:rFonts w:ascii="Arial" w:eastAsiaTheme="majorEastAsia" w:hAnsi="Arial" w:cstheme="majorBidi"/>
      <w:i/>
      <w:sz w:val="24"/>
      <w:szCs w:val="24"/>
    </w:rPr>
  </w:style>
  <w:style w:type="character" w:customStyle="1" w:styleId="Otsikko4Char">
    <w:name w:val="Otsikko 4 Char"/>
    <w:basedOn w:val="Kappaleenoletusfontti"/>
    <w:link w:val="Otsikko4"/>
    <w:uiPriority w:val="9"/>
    <w:semiHidden/>
    <w:rsid w:val="002B3DFD"/>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2B3DFD"/>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2B3DFD"/>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2B3DFD"/>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2B3DFD"/>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2B3DFD"/>
    <w:rPr>
      <w:rFonts w:asciiTheme="majorHAnsi" w:eastAsiaTheme="majorEastAsia" w:hAnsiTheme="majorHAnsi" w:cstheme="majorBidi"/>
      <w:i/>
      <w:iCs/>
      <w:color w:val="272727" w:themeColor="text1" w:themeTint="D8"/>
      <w:sz w:val="21"/>
      <w:szCs w:val="21"/>
    </w:rPr>
  </w:style>
  <w:style w:type="paragraph" w:customStyle="1" w:styleId="Abstrakti">
    <w:name w:val="Abstrakti"/>
    <w:basedOn w:val="Normaali"/>
    <w:link w:val="AbstraktiChar"/>
    <w:qFormat/>
    <w:rsid w:val="002A6A14"/>
    <w:pPr>
      <w:spacing w:line="240" w:lineRule="auto"/>
    </w:pPr>
    <w:rPr>
      <w:i/>
      <w:sz w:val="20"/>
      <w:szCs w:val="20"/>
    </w:rPr>
  </w:style>
  <w:style w:type="paragraph" w:customStyle="1" w:styleId="Kirjoittaja">
    <w:name w:val="Kirjoittaja"/>
    <w:basedOn w:val="Normaali"/>
    <w:link w:val="KirjoittajaChar"/>
    <w:qFormat/>
    <w:rsid w:val="002A6A14"/>
    <w:pPr>
      <w:spacing w:before="0"/>
    </w:pPr>
    <w:rPr>
      <w:lang w:val="en-US"/>
    </w:rPr>
  </w:style>
  <w:style w:type="character" w:customStyle="1" w:styleId="AbstraktiChar">
    <w:name w:val="Abstrakti Char"/>
    <w:basedOn w:val="Kappaleenoletusfontti"/>
    <w:link w:val="Abstrakti"/>
    <w:rsid w:val="002A6A14"/>
    <w:rPr>
      <w:rFonts w:ascii="Arial" w:hAnsi="Arial" w:cs="Arial"/>
      <w:i/>
      <w:sz w:val="20"/>
      <w:szCs w:val="20"/>
      <w:lang w:val="en-GB"/>
    </w:rPr>
  </w:style>
  <w:style w:type="character" w:customStyle="1" w:styleId="KirjoittajaChar">
    <w:name w:val="Kirjoittaja Char"/>
    <w:basedOn w:val="Kappaleenoletusfontti"/>
    <w:link w:val="Kirjoittaja"/>
    <w:rsid w:val="002A6A14"/>
    <w:rPr>
      <w:rFonts w:ascii="Arial" w:hAnsi="Arial" w:cs="Arial"/>
      <w:sz w:val="24"/>
      <w:szCs w:val="24"/>
      <w:lang w:val="en-US"/>
    </w:rPr>
  </w:style>
  <w:style w:type="character" w:styleId="AvattuHyperlinkki">
    <w:name w:val="FollowedHyperlink"/>
    <w:basedOn w:val="Kappaleenoletusfontti"/>
    <w:uiPriority w:val="99"/>
    <w:semiHidden/>
    <w:unhideWhenUsed/>
    <w:rsid w:val="00B33D62"/>
    <w:rPr>
      <w:color w:val="954F72" w:themeColor="followedHyperlink"/>
      <w:u w:val="single"/>
    </w:rPr>
  </w:style>
  <w:style w:type="character" w:styleId="Ratkaisematonmaininta">
    <w:name w:val="Unresolved Mention"/>
    <w:basedOn w:val="Kappaleenoletusfontti"/>
    <w:uiPriority w:val="99"/>
    <w:semiHidden/>
    <w:unhideWhenUsed/>
    <w:rsid w:val="006C1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a.virtanen@stat.fi"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fi/til/vaerak/2018/vaerak_2018_2019-03-29_tau_001_e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AA2BB-6FC5-4C06-8E87-55B8BCA6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15</Pages>
  <Words>3101</Words>
  <Characters>25123</Characters>
  <Application>Microsoft Office Word</Application>
  <DocSecurity>0</DocSecurity>
  <Lines>209</Lines>
  <Paragraphs>56</Paragraphs>
  <ScaleCrop>false</ScaleCrop>
  <HeadingPairs>
    <vt:vector size="6" baseType="variant">
      <vt:variant>
        <vt:lpstr>Otsikko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Virtanen Vesa (STAT)</cp:lastModifiedBy>
  <cp:revision>12</cp:revision>
  <cp:lastPrinted>2019-06-28T06:33:00Z</cp:lastPrinted>
  <dcterms:created xsi:type="dcterms:W3CDTF">2019-06-20T07:17:00Z</dcterms:created>
  <dcterms:modified xsi:type="dcterms:W3CDTF">2019-06-28T07:20:00Z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